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2F1B" w:rsidRDefault="00CF1CA7" w:rsidP="00912F1B">
      <w:pPr>
        <w:keepNext/>
        <w:tabs>
          <w:tab w:val="left" w:pos="6610"/>
        </w:tabs>
        <w:contextualSpacing/>
        <w:jc w:val="center"/>
        <w:rPr>
          <w:rFonts w:cs="Times New Roman"/>
          <w:sz w:val="48"/>
          <w:szCs w:val="48"/>
        </w:rPr>
      </w:pPr>
      <w:r w:rsidRPr="00CF1CA7">
        <w:rPr>
          <w:rFonts w:cs="Times New Roman"/>
          <w:sz w:val="48"/>
          <w:szCs w:val="48"/>
          <w:lang w:val="es-ES"/>
        </w:rPr>
        <w:t>Remoción de cromo hexavalente de soluciones acuosas usando cáscara de yuca (</w:t>
      </w:r>
      <w:proofErr w:type="spellStart"/>
      <w:r w:rsidRPr="00CF1CA7">
        <w:rPr>
          <w:rFonts w:cs="Times New Roman"/>
          <w:i/>
          <w:sz w:val="48"/>
          <w:szCs w:val="48"/>
          <w:lang w:val="es-ES"/>
        </w:rPr>
        <w:t>Manihot</w:t>
      </w:r>
      <w:proofErr w:type="spellEnd"/>
      <w:r w:rsidRPr="00CF1CA7">
        <w:rPr>
          <w:rFonts w:cs="Times New Roman"/>
          <w:i/>
          <w:sz w:val="48"/>
          <w:szCs w:val="48"/>
          <w:lang w:val="es-ES"/>
        </w:rPr>
        <w:t xml:space="preserve"> </w:t>
      </w:r>
      <w:proofErr w:type="spellStart"/>
      <w:r w:rsidRPr="00CF1CA7">
        <w:rPr>
          <w:rFonts w:cs="Times New Roman"/>
          <w:i/>
          <w:sz w:val="48"/>
          <w:szCs w:val="48"/>
          <w:lang w:val="es-ES"/>
        </w:rPr>
        <w:t>esculenta</w:t>
      </w:r>
      <w:proofErr w:type="spellEnd"/>
      <w:r w:rsidRPr="00CF1CA7">
        <w:rPr>
          <w:rFonts w:cs="Times New Roman"/>
          <w:sz w:val="48"/>
          <w:szCs w:val="48"/>
          <w:lang w:val="es-ES"/>
        </w:rPr>
        <w:t>): Experimentos en columna</w:t>
      </w:r>
      <w:r w:rsidRPr="00CF1CA7">
        <w:rPr>
          <w:rFonts w:cs="Times New Roman"/>
          <w:sz w:val="48"/>
          <w:szCs w:val="48"/>
        </w:rPr>
        <w:t xml:space="preserve"> </w:t>
      </w:r>
    </w:p>
    <w:p w:rsidR="00912F1B" w:rsidRDefault="00912F1B" w:rsidP="00912F1B">
      <w:pPr>
        <w:keepNext/>
        <w:tabs>
          <w:tab w:val="left" w:pos="6610"/>
        </w:tabs>
        <w:contextualSpacing/>
        <w:jc w:val="center"/>
        <w:rPr>
          <w:rFonts w:cs="Times New Roman"/>
          <w:sz w:val="48"/>
          <w:szCs w:val="48"/>
        </w:rPr>
      </w:pPr>
    </w:p>
    <w:p w:rsidR="00912F1B" w:rsidRPr="00912F1B" w:rsidRDefault="00912F1B" w:rsidP="00912F1B">
      <w:pPr>
        <w:keepNext/>
        <w:tabs>
          <w:tab w:val="left" w:pos="6610"/>
        </w:tabs>
        <w:contextualSpacing/>
        <w:jc w:val="center"/>
        <w:rPr>
          <w:rFonts w:cs="Times New Roman"/>
          <w:sz w:val="48"/>
          <w:szCs w:val="48"/>
          <w:lang w:val="en-US"/>
        </w:rPr>
      </w:pPr>
      <w:r w:rsidRPr="00912F1B">
        <w:rPr>
          <w:rFonts w:cs="Times New Roman"/>
          <w:sz w:val="48"/>
          <w:szCs w:val="48"/>
          <w:lang w:val="en-US"/>
        </w:rPr>
        <w:t>Removal of hexavalent Chrome from aqueous solution using cassava peel (</w:t>
      </w:r>
      <w:proofErr w:type="spellStart"/>
      <w:r w:rsidRPr="00912F1B">
        <w:rPr>
          <w:rFonts w:cs="Times New Roman"/>
          <w:i/>
          <w:sz w:val="48"/>
          <w:szCs w:val="48"/>
          <w:lang w:val="en-US"/>
        </w:rPr>
        <w:t>Manihot</w:t>
      </w:r>
      <w:proofErr w:type="spellEnd"/>
      <w:r w:rsidRPr="00912F1B">
        <w:rPr>
          <w:rFonts w:cs="Times New Roman"/>
          <w:i/>
          <w:sz w:val="48"/>
          <w:szCs w:val="48"/>
          <w:lang w:val="en-US"/>
        </w:rPr>
        <w:t xml:space="preserve"> </w:t>
      </w:r>
      <w:proofErr w:type="spellStart"/>
      <w:r w:rsidRPr="00912F1B">
        <w:rPr>
          <w:rFonts w:cs="Times New Roman"/>
          <w:i/>
          <w:sz w:val="48"/>
          <w:szCs w:val="48"/>
          <w:lang w:val="en-US"/>
        </w:rPr>
        <w:t>esculenta</w:t>
      </w:r>
      <w:proofErr w:type="spellEnd"/>
      <w:r w:rsidRPr="00912F1B">
        <w:rPr>
          <w:rFonts w:cs="Times New Roman"/>
          <w:sz w:val="48"/>
          <w:szCs w:val="48"/>
          <w:lang w:val="en-US"/>
        </w:rPr>
        <w:t>): column experiments</w:t>
      </w:r>
    </w:p>
    <w:p w:rsidR="00D54E60" w:rsidRPr="00912F1B" w:rsidRDefault="00D54E60" w:rsidP="00912F1B">
      <w:pPr>
        <w:keepNext/>
        <w:tabs>
          <w:tab w:val="left" w:pos="6610"/>
        </w:tabs>
        <w:contextualSpacing/>
        <w:jc w:val="center"/>
        <w:rPr>
          <w:rFonts w:cs="Times New Roman"/>
          <w:szCs w:val="20"/>
          <w:lang w:val="en-US"/>
        </w:rPr>
      </w:pPr>
    </w:p>
    <w:p w:rsidR="00D309D1" w:rsidRPr="00421073" w:rsidRDefault="00046F39" w:rsidP="00CC08BD">
      <w:pPr>
        <w:keepNext/>
        <w:tabs>
          <w:tab w:val="left" w:pos="6610"/>
        </w:tabs>
        <w:spacing w:after="0"/>
        <w:contextualSpacing/>
        <w:jc w:val="center"/>
        <w:rPr>
          <w:rFonts w:cs="Times New Roman"/>
          <w:szCs w:val="20"/>
        </w:rPr>
      </w:pPr>
      <w:r>
        <w:rPr>
          <w:rFonts w:cs="Times New Roman"/>
          <w:szCs w:val="20"/>
        </w:rPr>
        <w:t>Alberto Ricardo Albis Arrieta</w:t>
      </w:r>
    </w:p>
    <w:p w:rsidR="00412300" w:rsidRDefault="00046F39" w:rsidP="00412300">
      <w:pPr>
        <w:keepNext/>
        <w:tabs>
          <w:tab w:val="left" w:pos="6610"/>
        </w:tabs>
        <w:spacing w:after="0"/>
        <w:contextualSpacing/>
        <w:jc w:val="center"/>
        <w:rPr>
          <w:rFonts w:cs="Times New Roman"/>
          <w:szCs w:val="20"/>
        </w:rPr>
      </w:pPr>
      <w:r>
        <w:rPr>
          <w:rFonts w:cs="Times New Roman"/>
          <w:szCs w:val="20"/>
        </w:rPr>
        <w:t>Ingeniero Químico. Doctor en Ciencias Químicas.</w:t>
      </w:r>
    </w:p>
    <w:p w:rsidR="00D309D1" w:rsidRPr="00421073" w:rsidRDefault="00412300" w:rsidP="00412300">
      <w:pPr>
        <w:keepNext/>
        <w:tabs>
          <w:tab w:val="left" w:pos="6610"/>
        </w:tabs>
        <w:spacing w:after="0"/>
        <w:contextualSpacing/>
        <w:jc w:val="center"/>
        <w:rPr>
          <w:rFonts w:cs="Times New Roman"/>
          <w:szCs w:val="20"/>
        </w:rPr>
      </w:pPr>
      <w:r>
        <w:rPr>
          <w:rFonts w:cs="Times New Roman"/>
          <w:szCs w:val="20"/>
        </w:rPr>
        <w:t>Universidad</w:t>
      </w:r>
      <w:r w:rsidR="00046F39">
        <w:rPr>
          <w:rFonts w:cs="Times New Roman"/>
          <w:szCs w:val="20"/>
        </w:rPr>
        <w:t xml:space="preserve"> del </w:t>
      </w:r>
      <w:r w:rsidR="003663FF">
        <w:rPr>
          <w:rFonts w:cs="Times New Roman"/>
          <w:szCs w:val="20"/>
        </w:rPr>
        <w:t>Atlántico</w:t>
      </w:r>
    </w:p>
    <w:p w:rsidR="00D309D1" w:rsidRDefault="00046F39" w:rsidP="00CC08BD">
      <w:pPr>
        <w:keepNext/>
        <w:tabs>
          <w:tab w:val="left" w:pos="6610"/>
        </w:tabs>
        <w:spacing w:after="0"/>
        <w:contextualSpacing/>
        <w:jc w:val="center"/>
        <w:rPr>
          <w:rFonts w:cs="Times New Roman"/>
          <w:szCs w:val="20"/>
        </w:rPr>
      </w:pPr>
      <w:r>
        <w:rPr>
          <w:rFonts w:cs="Times New Roman"/>
          <w:szCs w:val="20"/>
        </w:rPr>
        <w:t>Barranquilla</w:t>
      </w:r>
      <w:r w:rsidR="00D309D1" w:rsidRPr="00421073">
        <w:rPr>
          <w:rFonts w:cs="Times New Roman"/>
          <w:szCs w:val="20"/>
        </w:rPr>
        <w:t xml:space="preserve"> </w:t>
      </w:r>
      <w:r w:rsidR="00FC4385">
        <w:rPr>
          <w:rFonts w:cs="Times New Roman"/>
          <w:szCs w:val="20"/>
        </w:rPr>
        <w:t>(</w:t>
      </w:r>
      <w:proofErr w:type="spellStart"/>
      <w:r>
        <w:rPr>
          <w:rFonts w:cs="Times New Roman"/>
          <w:szCs w:val="20"/>
        </w:rPr>
        <w:t>colombia</w:t>
      </w:r>
      <w:proofErr w:type="spellEnd"/>
      <w:r w:rsidR="00FC4385">
        <w:rPr>
          <w:rFonts w:cs="Times New Roman"/>
          <w:szCs w:val="20"/>
        </w:rPr>
        <w:t>)</w:t>
      </w:r>
      <w:r w:rsidR="00D309D1" w:rsidRPr="00421073">
        <w:rPr>
          <w:rFonts w:cs="Times New Roman"/>
          <w:szCs w:val="20"/>
        </w:rPr>
        <w:t xml:space="preserve">, </w:t>
      </w:r>
      <w:r w:rsidRPr="002C31B5">
        <w:rPr>
          <w:rStyle w:val="Hipervnculo"/>
          <w:rFonts w:cs="Times New Roman"/>
          <w:szCs w:val="20"/>
        </w:rPr>
        <w:t>albertoalbis@mail.uniatlántico.edu.co</w:t>
      </w:r>
      <w:r w:rsidR="00D309D1" w:rsidRPr="002C31B5">
        <w:rPr>
          <w:rStyle w:val="Hipervnculo"/>
          <w:rFonts w:cs="Times New Roman"/>
          <w:szCs w:val="20"/>
        </w:rPr>
        <w:cr/>
      </w:r>
    </w:p>
    <w:p w:rsidR="00D309D1" w:rsidRPr="00421073" w:rsidRDefault="002C31B5" w:rsidP="00CC08BD">
      <w:pPr>
        <w:keepNext/>
        <w:tabs>
          <w:tab w:val="left" w:pos="6610"/>
        </w:tabs>
        <w:spacing w:after="0"/>
        <w:contextualSpacing/>
        <w:jc w:val="center"/>
        <w:rPr>
          <w:rFonts w:cs="Times New Roman"/>
          <w:szCs w:val="20"/>
        </w:rPr>
      </w:pPr>
      <w:proofErr w:type="spellStart"/>
      <w:r>
        <w:rPr>
          <w:rFonts w:cs="Times New Roman"/>
          <w:szCs w:val="20"/>
        </w:rPr>
        <w:t>Jose</w:t>
      </w:r>
      <w:proofErr w:type="spellEnd"/>
      <w:r>
        <w:rPr>
          <w:rFonts w:cs="Times New Roman"/>
          <w:szCs w:val="20"/>
        </w:rPr>
        <w:t xml:space="preserve"> Daniel Ortiz Toro</w:t>
      </w:r>
    </w:p>
    <w:p w:rsidR="002C31B5" w:rsidRDefault="002C31B5" w:rsidP="00412300">
      <w:pPr>
        <w:keepNext/>
        <w:tabs>
          <w:tab w:val="left" w:pos="6610"/>
        </w:tabs>
        <w:spacing w:after="0"/>
        <w:contextualSpacing/>
        <w:jc w:val="center"/>
        <w:rPr>
          <w:rFonts w:cs="Times New Roman"/>
          <w:szCs w:val="20"/>
        </w:rPr>
      </w:pPr>
      <w:r>
        <w:rPr>
          <w:rFonts w:cs="Times New Roman"/>
          <w:szCs w:val="20"/>
        </w:rPr>
        <w:t>Ingeniero Químico</w:t>
      </w:r>
    </w:p>
    <w:p w:rsidR="006F60F0" w:rsidRDefault="003C05CD" w:rsidP="00412300">
      <w:pPr>
        <w:keepNext/>
        <w:tabs>
          <w:tab w:val="left" w:pos="6610"/>
        </w:tabs>
        <w:spacing w:after="0"/>
        <w:contextualSpacing/>
        <w:jc w:val="center"/>
        <w:rPr>
          <w:rFonts w:cs="Times New Roman"/>
          <w:szCs w:val="20"/>
        </w:rPr>
      </w:pPr>
      <w:r>
        <w:rPr>
          <w:rFonts w:cs="Times New Roman"/>
          <w:szCs w:val="20"/>
        </w:rPr>
        <w:t>Universidad del Atlántico</w:t>
      </w:r>
    </w:p>
    <w:p w:rsidR="00412300" w:rsidRDefault="006F60F0" w:rsidP="00412300">
      <w:pPr>
        <w:keepNext/>
        <w:tabs>
          <w:tab w:val="left" w:pos="6610"/>
        </w:tabs>
        <w:spacing w:after="0"/>
        <w:contextualSpacing/>
        <w:jc w:val="center"/>
        <w:rPr>
          <w:rFonts w:cs="Times New Roman"/>
          <w:szCs w:val="20"/>
        </w:rPr>
      </w:pPr>
      <w:r>
        <w:rPr>
          <w:rFonts w:cs="Times New Roman"/>
          <w:szCs w:val="20"/>
        </w:rPr>
        <w:t>Barranquilla</w:t>
      </w:r>
      <w:r w:rsidRPr="00421073">
        <w:rPr>
          <w:rFonts w:cs="Times New Roman"/>
          <w:szCs w:val="20"/>
        </w:rPr>
        <w:t xml:space="preserve"> </w:t>
      </w:r>
      <w:r>
        <w:rPr>
          <w:rFonts w:cs="Times New Roman"/>
          <w:szCs w:val="20"/>
        </w:rPr>
        <w:t>(</w:t>
      </w:r>
      <w:proofErr w:type="spellStart"/>
      <w:r>
        <w:rPr>
          <w:rFonts w:cs="Times New Roman"/>
          <w:szCs w:val="20"/>
        </w:rPr>
        <w:t>colombia</w:t>
      </w:r>
      <w:proofErr w:type="spellEnd"/>
      <w:r>
        <w:rPr>
          <w:rFonts w:cs="Times New Roman"/>
          <w:szCs w:val="20"/>
        </w:rPr>
        <w:t>)</w:t>
      </w:r>
      <w:r w:rsidRPr="00421073">
        <w:rPr>
          <w:rFonts w:cs="Times New Roman"/>
          <w:szCs w:val="20"/>
        </w:rPr>
        <w:t xml:space="preserve">, </w:t>
      </w:r>
      <w:bookmarkStart w:id="0" w:name="_GoBack"/>
      <w:bookmarkEnd w:id="0"/>
      <w:r w:rsidR="00B263E8">
        <w:rPr>
          <w:rFonts w:cs="Times New Roman"/>
          <w:szCs w:val="20"/>
          <w:u w:color="0000FF"/>
        </w:rPr>
        <w:fldChar w:fldCharType="begin"/>
      </w:r>
      <w:r w:rsidR="00B263E8">
        <w:rPr>
          <w:rFonts w:cs="Times New Roman"/>
          <w:szCs w:val="20"/>
          <w:u w:color="0000FF"/>
        </w:rPr>
        <w:instrText xml:space="preserve"> HYPERLINK "mailto:</w:instrText>
      </w:r>
      <w:r w:rsidR="00B263E8" w:rsidRPr="00B263E8">
        <w:rPr>
          <w:rFonts w:cs="Times New Roman"/>
          <w:szCs w:val="20"/>
          <w:u w:color="0000FF"/>
        </w:rPr>
        <w:instrText>jdortiz@uniatlantico.edu.co</w:instrText>
      </w:r>
      <w:r w:rsidR="00B263E8">
        <w:rPr>
          <w:rFonts w:cs="Times New Roman"/>
          <w:szCs w:val="20"/>
          <w:u w:color="0000FF"/>
        </w:rPr>
        <w:instrText xml:space="preserve">" </w:instrText>
      </w:r>
      <w:r w:rsidR="00B263E8">
        <w:rPr>
          <w:rFonts w:cs="Times New Roman"/>
          <w:szCs w:val="20"/>
          <w:u w:color="0000FF"/>
        </w:rPr>
        <w:fldChar w:fldCharType="separate"/>
      </w:r>
      <w:r w:rsidR="00B263E8" w:rsidRPr="0015178E">
        <w:rPr>
          <w:rStyle w:val="Hipervnculo"/>
          <w:rFonts w:cs="Times New Roman"/>
          <w:szCs w:val="20"/>
        </w:rPr>
        <w:t>jdortiz@uniatlantico.edu.co</w:t>
      </w:r>
      <w:r w:rsidR="00B263E8">
        <w:rPr>
          <w:rFonts w:cs="Times New Roman"/>
          <w:szCs w:val="20"/>
          <w:u w:color="0000FF"/>
        </w:rPr>
        <w:fldChar w:fldCharType="end"/>
      </w:r>
      <w:r w:rsidR="00412300">
        <w:rPr>
          <w:rFonts w:cs="Times New Roman"/>
          <w:szCs w:val="20"/>
        </w:rPr>
        <w:t xml:space="preserve"> </w:t>
      </w:r>
    </w:p>
    <w:p w:rsidR="003663FF" w:rsidRDefault="003663FF" w:rsidP="00412300">
      <w:pPr>
        <w:keepNext/>
        <w:tabs>
          <w:tab w:val="left" w:pos="6610"/>
        </w:tabs>
        <w:spacing w:after="0"/>
        <w:contextualSpacing/>
        <w:jc w:val="center"/>
        <w:rPr>
          <w:rFonts w:cs="Times New Roman"/>
          <w:szCs w:val="20"/>
        </w:rPr>
      </w:pPr>
    </w:p>
    <w:p w:rsidR="003663FF" w:rsidRPr="00421073" w:rsidRDefault="008A6DF3" w:rsidP="003663FF">
      <w:pPr>
        <w:keepNext/>
        <w:tabs>
          <w:tab w:val="left" w:pos="6610"/>
        </w:tabs>
        <w:spacing w:after="0"/>
        <w:contextualSpacing/>
        <w:jc w:val="center"/>
        <w:rPr>
          <w:rFonts w:cs="Times New Roman"/>
          <w:szCs w:val="20"/>
        </w:rPr>
      </w:pPr>
      <w:proofErr w:type="spellStart"/>
      <w:r>
        <w:rPr>
          <w:rFonts w:cs="Times New Roman"/>
          <w:szCs w:val="20"/>
        </w:rPr>
        <w:t>Jader</w:t>
      </w:r>
      <w:proofErr w:type="spellEnd"/>
      <w:r>
        <w:rPr>
          <w:rFonts w:cs="Times New Roman"/>
          <w:szCs w:val="20"/>
        </w:rPr>
        <w:t xml:space="preserve"> Enrique Martínez De L</w:t>
      </w:r>
      <w:r w:rsidR="003663FF">
        <w:rPr>
          <w:rFonts w:cs="Times New Roman"/>
          <w:szCs w:val="20"/>
        </w:rPr>
        <w:t>a Rosa</w:t>
      </w:r>
    </w:p>
    <w:p w:rsidR="003663FF" w:rsidRDefault="003663FF" w:rsidP="003663FF">
      <w:pPr>
        <w:keepNext/>
        <w:tabs>
          <w:tab w:val="left" w:pos="6610"/>
        </w:tabs>
        <w:spacing w:after="0"/>
        <w:contextualSpacing/>
        <w:jc w:val="center"/>
        <w:rPr>
          <w:rFonts w:cs="Times New Roman"/>
          <w:szCs w:val="20"/>
        </w:rPr>
      </w:pPr>
      <w:r>
        <w:rPr>
          <w:rFonts w:cs="Times New Roman"/>
          <w:szCs w:val="20"/>
        </w:rPr>
        <w:t>Ingeniero Químico</w:t>
      </w:r>
    </w:p>
    <w:p w:rsidR="008A6DF3" w:rsidRPr="00421073" w:rsidRDefault="008A6DF3" w:rsidP="008A6DF3">
      <w:pPr>
        <w:keepNext/>
        <w:tabs>
          <w:tab w:val="left" w:pos="6610"/>
        </w:tabs>
        <w:spacing w:after="0"/>
        <w:contextualSpacing/>
        <w:jc w:val="center"/>
        <w:rPr>
          <w:rFonts w:cs="Times New Roman"/>
          <w:szCs w:val="20"/>
        </w:rPr>
      </w:pPr>
      <w:r>
        <w:rPr>
          <w:rFonts w:cs="Times New Roman"/>
          <w:szCs w:val="20"/>
        </w:rPr>
        <w:t>Universidad del Atlántico</w:t>
      </w:r>
    </w:p>
    <w:p w:rsidR="003663FF" w:rsidRDefault="003663FF" w:rsidP="003663FF">
      <w:pPr>
        <w:keepNext/>
        <w:tabs>
          <w:tab w:val="left" w:pos="6610"/>
        </w:tabs>
        <w:spacing w:after="0"/>
        <w:contextualSpacing/>
        <w:jc w:val="center"/>
        <w:rPr>
          <w:rFonts w:cs="Times New Roman"/>
          <w:szCs w:val="20"/>
        </w:rPr>
      </w:pPr>
      <w:r>
        <w:rPr>
          <w:rFonts w:cs="Times New Roman"/>
          <w:szCs w:val="20"/>
        </w:rPr>
        <w:t>Barranquilla</w:t>
      </w:r>
      <w:r w:rsidRPr="00421073">
        <w:rPr>
          <w:rFonts w:cs="Times New Roman"/>
          <w:szCs w:val="20"/>
        </w:rPr>
        <w:t xml:space="preserve"> </w:t>
      </w:r>
      <w:r>
        <w:rPr>
          <w:rFonts w:cs="Times New Roman"/>
          <w:szCs w:val="20"/>
        </w:rPr>
        <w:t>(</w:t>
      </w:r>
      <w:proofErr w:type="spellStart"/>
      <w:r>
        <w:rPr>
          <w:rFonts w:cs="Times New Roman"/>
          <w:szCs w:val="20"/>
        </w:rPr>
        <w:t>colombia</w:t>
      </w:r>
      <w:proofErr w:type="spellEnd"/>
      <w:r>
        <w:rPr>
          <w:rFonts w:cs="Times New Roman"/>
          <w:szCs w:val="20"/>
        </w:rPr>
        <w:t>)</w:t>
      </w:r>
      <w:r w:rsidRPr="00421073">
        <w:rPr>
          <w:rFonts w:cs="Times New Roman"/>
          <w:szCs w:val="20"/>
        </w:rPr>
        <w:t xml:space="preserve">, </w:t>
      </w:r>
      <w:r w:rsidRPr="008A6DF3">
        <w:rPr>
          <w:rStyle w:val="Hipervnculo"/>
        </w:rPr>
        <w:t>jader</w:t>
      </w:r>
      <w:r w:rsidR="008A6DF3" w:rsidRPr="008A6DF3">
        <w:rPr>
          <w:rStyle w:val="Hipervnculo"/>
        </w:rPr>
        <w:t>emartinez@mail.uniatlantico.edu.co</w:t>
      </w:r>
      <w:r>
        <w:rPr>
          <w:rFonts w:cs="Times New Roman"/>
          <w:szCs w:val="20"/>
        </w:rPr>
        <w:t xml:space="preserve"> </w:t>
      </w:r>
    </w:p>
    <w:p w:rsidR="003663FF" w:rsidRDefault="003663FF" w:rsidP="003663FF">
      <w:pPr>
        <w:keepNext/>
        <w:tabs>
          <w:tab w:val="left" w:pos="6610"/>
        </w:tabs>
        <w:spacing w:after="0"/>
        <w:contextualSpacing/>
        <w:jc w:val="center"/>
        <w:rPr>
          <w:rFonts w:cs="Times New Roman"/>
          <w:szCs w:val="20"/>
        </w:rPr>
      </w:pPr>
    </w:p>
    <w:p w:rsidR="003663FF" w:rsidRDefault="003663FF" w:rsidP="00412300">
      <w:pPr>
        <w:keepNext/>
        <w:tabs>
          <w:tab w:val="left" w:pos="6610"/>
        </w:tabs>
        <w:spacing w:after="0"/>
        <w:contextualSpacing/>
        <w:jc w:val="center"/>
        <w:rPr>
          <w:rFonts w:cs="Times New Roman"/>
          <w:szCs w:val="20"/>
        </w:rPr>
      </w:pPr>
    </w:p>
    <w:p w:rsidR="00412300" w:rsidRDefault="00412300" w:rsidP="00412300">
      <w:pPr>
        <w:keepNext/>
        <w:tabs>
          <w:tab w:val="left" w:pos="6610"/>
        </w:tabs>
        <w:spacing w:after="0"/>
        <w:contextualSpacing/>
        <w:jc w:val="center"/>
        <w:rPr>
          <w:rFonts w:cs="Times New Roman"/>
          <w:szCs w:val="20"/>
        </w:rPr>
      </w:pPr>
    </w:p>
    <w:p w:rsidR="00412300" w:rsidRDefault="00412300" w:rsidP="00412300">
      <w:pPr>
        <w:keepNext/>
        <w:tabs>
          <w:tab w:val="left" w:pos="6610"/>
        </w:tabs>
        <w:spacing w:after="0"/>
        <w:contextualSpacing/>
        <w:rPr>
          <w:rFonts w:cs="Times New Roman"/>
          <w:b/>
          <w:i/>
          <w:szCs w:val="20"/>
        </w:rPr>
      </w:pPr>
    </w:p>
    <w:p w:rsidR="00412300" w:rsidRPr="00412300" w:rsidRDefault="00412300" w:rsidP="00412300">
      <w:pPr>
        <w:keepNext/>
        <w:tabs>
          <w:tab w:val="left" w:pos="6610"/>
        </w:tabs>
        <w:spacing w:after="0"/>
        <w:contextualSpacing/>
        <w:rPr>
          <w:rFonts w:cs="Times New Roman"/>
          <w:b/>
          <w:i/>
          <w:szCs w:val="20"/>
        </w:rPr>
      </w:pPr>
      <w:r w:rsidRPr="00412300">
        <w:rPr>
          <w:rFonts w:cs="Times New Roman"/>
          <w:b/>
          <w:i/>
          <w:szCs w:val="20"/>
        </w:rPr>
        <w:t>Artículo de investigación</w:t>
      </w:r>
    </w:p>
    <w:p w:rsidR="00412300" w:rsidRDefault="00412300" w:rsidP="00412300">
      <w:pPr>
        <w:keepNext/>
        <w:tabs>
          <w:tab w:val="left" w:pos="6610"/>
        </w:tabs>
        <w:spacing w:after="0"/>
        <w:contextualSpacing/>
        <w:rPr>
          <w:rFonts w:cs="Times New Roman"/>
          <w:b/>
          <w:szCs w:val="20"/>
        </w:rPr>
      </w:pPr>
      <w:r>
        <w:rPr>
          <w:rFonts w:cs="Times New Roman"/>
          <w:b/>
          <w:szCs w:val="20"/>
        </w:rPr>
        <w:t>Fecha de Recepción:</w:t>
      </w:r>
    </w:p>
    <w:p w:rsidR="00412300" w:rsidRDefault="00412300" w:rsidP="00412300">
      <w:pPr>
        <w:tabs>
          <w:tab w:val="left" w:pos="6610"/>
        </w:tabs>
        <w:spacing w:after="0"/>
        <w:rPr>
          <w:rFonts w:cs="Times New Roman"/>
          <w:b/>
          <w:szCs w:val="20"/>
        </w:rPr>
      </w:pPr>
      <w:r>
        <w:rPr>
          <w:rFonts w:cs="Times New Roman"/>
          <w:b/>
          <w:szCs w:val="20"/>
        </w:rPr>
        <w:t>Fecha de Aceptación:</w:t>
      </w:r>
    </w:p>
    <w:p w:rsidR="00D54E60" w:rsidRDefault="00D54E60" w:rsidP="00CC08BD">
      <w:pPr>
        <w:keepNext/>
        <w:tabs>
          <w:tab w:val="left" w:pos="6610"/>
        </w:tabs>
        <w:spacing w:after="0"/>
        <w:contextualSpacing/>
        <w:jc w:val="center"/>
        <w:rPr>
          <w:rFonts w:cs="Times New Roman"/>
          <w:szCs w:val="20"/>
        </w:rPr>
      </w:pPr>
    </w:p>
    <w:p w:rsidR="00C43DB1" w:rsidRDefault="00C43DB1" w:rsidP="00CC08BD">
      <w:pPr>
        <w:keepNext/>
        <w:tabs>
          <w:tab w:val="left" w:pos="6610"/>
        </w:tabs>
        <w:spacing w:after="0"/>
        <w:contextualSpacing/>
        <w:jc w:val="center"/>
        <w:rPr>
          <w:rFonts w:cs="Times New Roman"/>
          <w:szCs w:val="20"/>
        </w:rPr>
        <w:sectPr w:rsidR="00C43DB1" w:rsidSect="00C43DB1">
          <w:headerReference w:type="default" r:id="rId9"/>
          <w:footnotePr>
            <w:pos w:val="beneathText"/>
          </w:footnotePr>
          <w:type w:val="continuous"/>
          <w:pgSz w:w="11907" w:h="16840" w:code="9"/>
          <w:pgMar w:top="1134" w:right="1134" w:bottom="1134" w:left="1134" w:header="709" w:footer="709" w:gutter="0"/>
          <w:cols w:space="425"/>
          <w:docGrid w:linePitch="360"/>
        </w:sectPr>
      </w:pPr>
    </w:p>
    <w:p w:rsidR="000B1E8C" w:rsidRPr="00523C9A" w:rsidRDefault="00D309D1" w:rsidP="00523C9A">
      <w:pPr>
        <w:tabs>
          <w:tab w:val="left" w:pos="6610"/>
        </w:tabs>
        <w:rPr>
          <w:rFonts w:cs="Times New Roman"/>
          <w:b/>
          <w:i/>
          <w:sz w:val="18"/>
          <w:szCs w:val="18"/>
          <w:lang w:val="es-US"/>
        </w:rPr>
      </w:pPr>
      <w:r w:rsidRPr="00421073">
        <w:rPr>
          <w:rFonts w:cs="Times New Roman"/>
          <w:b/>
          <w:szCs w:val="20"/>
        </w:rPr>
        <w:lastRenderedPageBreak/>
        <w:t>Res</w:t>
      </w:r>
      <w:r w:rsidRPr="00C43DB1">
        <w:rPr>
          <w:rFonts w:cs="Times New Roman"/>
          <w:szCs w:val="20"/>
        </w:rPr>
        <w:t>u</w:t>
      </w:r>
      <w:r w:rsidRPr="00421073">
        <w:rPr>
          <w:rFonts w:cs="Times New Roman"/>
          <w:b/>
          <w:szCs w:val="20"/>
        </w:rPr>
        <w:t>men</w:t>
      </w:r>
      <w:r w:rsidRPr="00421073">
        <w:rPr>
          <w:rFonts w:cs="Times New Roman"/>
          <w:szCs w:val="20"/>
        </w:rPr>
        <w:t>--</w:t>
      </w:r>
      <w:r w:rsidR="000B1E8C" w:rsidRPr="000B1E8C">
        <w:rPr>
          <w:rFonts w:eastAsia="Times New Roman" w:cs="Times New Roman"/>
          <w:spacing w:val="-2"/>
          <w:szCs w:val="18"/>
          <w:lang w:val="es-ES"/>
        </w:rPr>
        <w:t xml:space="preserve"> </w:t>
      </w:r>
      <w:r w:rsidR="00523C9A" w:rsidRPr="00523C9A">
        <w:rPr>
          <w:rFonts w:cs="Times New Roman"/>
          <w:b/>
          <w:i/>
          <w:sz w:val="18"/>
          <w:szCs w:val="18"/>
          <w:lang w:val="es-ES"/>
        </w:rPr>
        <w:t>— se realizó un estudio acerca del potencial de la cáscara de yuca como biosorbente en la adsorción de cromo hexavalente en un proceso semicontinuo en columna de lecho empacado. Se analizó la influencia del caudal de alimentación de soluciones de cromo, la concentración de dicho caudal y la altura del lecho sobre la capacidad de remoción y el tiempo de ruptura en un montaje a escala de laboratorio.</w:t>
      </w:r>
      <w:r w:rsidR="00523C9A" w:rsidRPr="00523C9A">
        <w:rPr>
          <w:rFonts w:cs="Times New Roman"/>
          <w:b/>
          <w:i/>
          <w:sz w:val="18"/>
          <w:szCs w:val="18"/>
        </w:rPr>
        <w:t xml:space="preserve"> Los resultados muestran que hay un mayor rendimiento cuando se utilizan el flujo de alimentación y la concentración inicial más bajos, así como la mayor altura del lecho. El comportamiento dinámico fue ajustado a tres modelos clásicos de experimentos en columna. No obstante, el mejor ajuste se alcanzó con el modelo estadístico de superficie de respuesta.</w:t>
      </w:r>
    </w:p>
    <w:p w:rsidR="00523C9A" w:rsidRDefault="00D309D1" w:rsidP="00CC08BD">
      <w:pPr>
        <w:tabs>
          <w:tab w:val="left" w:pos="6610"/>
        </w:tabs>
        <w:rPr>
          <w:lang w:val="es-ES"/>
        </w:rPr>
      </w:pPr>
      <w:r w:rsidRPr="00C43DB1">
        <w:rPr>
          <w:rFonts w:cs="Times New Roman"/>
          <w:b/>
          <w:szCs w:val="18"/>
        </w:rPr>
        <w:t>Palabras claves</w:t>
      </w:r>
      <w:r w:rsidRPr="00C43DB1">
        <w:rPr>
          <w:rFonts w:cs="Times New Roman"/>
          <w:szCs w:val="18"/>
        </w:rPr>
        <w:t>--</w:t>
      </w:r>
      <w:r w:rsidR="00523C9A" w:rsidRPr="00523C9A">
        <w:rPr>
          <w:lang w:val="es-ES"/>
        </w:rPr>
        <w:t xml:space="preserve"> </w:t>
      </w:r>
      <w:r w:rsidR="00523C9A" w:rsidRPr="00AF72A4">
        <w:rPr>
          <w:sz w:val="18"/>
          <w:szCs w:val="18"/>
          <w:lang w:val="es-ES"/>
        </w:rPr>
        <w:t>Cáscara de yuca, Cromo, Remoción, Tiempo de ruptura, Columna empacada</w:t>
      </w:r>
      <w:r w:rsidR="00523C9A">
        <w:rPr>
          <w:lang w:val="es-ES"/>
        </w:rPr>
        <w:t>.</w:t>
      </w:r>
    </w:p>
    <w:p w:rsidR="007E09FA" w:rsidRPr="007E09FA" w:rsidRDefault="00D309D1" w:rsidP="007E09FA">
      <w:pPr>
        <w:tabs>
          <w:tab w:val="left" w:pos="6610"/>
        </w:tabs>
        <w:rPr>
          <w:rFonts w:cs="Times New Roman"/>
          <w:b/>
          <w:i/>
          <w:sz w:val="18"/>
          <w:szCs w:val="18"/>
          <w:lang w:val="en-US"/>
        </w:rPr>
      </w:pPr>
      <w:r w:rsidRPr="007E09FA">
        <w:rPr>
          <w:rFonts w:cs="Times New Roman"/>
          <w:b/>
          <w:szCs w:val="18"/>
          <w:lang w:val="en-US"/>
        </w:rPr>
        <w:t>Abstract</w:t>
      </w:r>
      <w:r w:rsidRPr="007E09FA">
        <w:rPr>
          <w:rFonts w:cs="Times New Roman"/>
          <w:sz w:val="18"/>
          <w:szCs w:val="18"/>
          <w:lang w:val="en-US"/>
        </w:rPr>
        <w:t>--</w:t>
      </w:r>
      <w:r w:rsidR="007E09FA" w:rsidRPr="007E09FA">
        <w:rPr>
          <w:rFonts w:eastAsia="Times New Roman" w:cs="Times New Roman"/>
          <w:b/>
          <w:sz w:val="18"/>
          <w:szCs w:val="18"/>
          <w:lang w:val="en-US"/>
        </w:rPr>
        <w:t xml:space="preserve"> </w:t>
      </w:r>
      <w:r w:rsidR="007E09FA" w:rsidRPr="007E09FA">
        <w:rPr>
          <w:rFonts w:cs="Times New Roman"/>
          <w:b/>
          <w:i/>
          <w:sz w:val="18"/>
          <w:szCs w:val="18"/>
          <w:lang w:val="en-US"/>
        </w:rPr>
        <w:t>in this work we study the removal of hexavalent chrome on cassava peel (</w:t>
      </w:r>
      <w:proofErr w:type="spellStart"/>
      <w:r w:rsidR="007E09FA" w:rsidRPr="007E09FA">
        <w:rPr>
          <w:rFonts w:cs="Times New Roman"/>
          <w:b/>
          <w:i/>
          <w:sz w:val="18"/>
          <w:szCs w:val="18"/>
          <w:lang w:val="en-US"/>
        </w:rPr>
        <w:t>Manihot</w:t>
      </w:r>
      <w:proofErr w:type="spellEnd"/>
      <w:r w:rsidR="007E09FA" w:rsidRPr="007E09FA">
        <w:rPr>
          <w:rFonts w:cs="Times New Roman"/>
          <w:b/>
          <w:i/>
          <w:sz w:val="18"/>
          <w:szCs w:val="18"/>
          <w:lang w:val="en-US"/>
        </w:rPr>
        <w:t xml:space="preserve"> </w:t>
      </w:r>
      <w:proofErr w:type="spellStart"/>
      <w:r w:rsidR="007E09FA" w:rsidRPr="007E09FA">
        <w:rPr>
          <w:rFonts w:cs="Times New Roman"/>
          <w:b/>
          <w:i/>
          <w:sz w:val="18"/>
          <w:szCs w:val="18"/>
          <w:lang w:val="en-US"/>
        </w:rPr>
        <w:t>esculenta</w:t>
      </w:r>
      <w:proofErr w:type="spellEnd"/>
      <w:r w:rsidR="007E09FA" w:rsidRPr="007E09FA">
        <w:rPr>
          <w:rFonts w:cs="Times New Roman"/>
          <w:b/>
          <w:i/>
          <w:sz w:val="18"/>
          <w:szCs w:val="18"/>
          <w:lang w:val="en-US"/>
        </w:rPr>
        <w:t xml:space="preserve">) in packed columns. In order to stablish the effect of parameters such as feed flow rate, initial concentration and bed column height on the response variable, an experimental set-up was developed using the rupture time as response variable. The </w:t>
      </w:r>
      <w:r w:rsidR="007E09FA" w:rsidRPr="007E09FA">
        <w:rPr>
          <w:rFonts w:cs="Times New Roman"/>
          <w:b/>
          <w:i/>
          <w:sz w:val="18"/>
          <w:szCs w:val="18"/>
          <w:lang w:val="en-US"/>
        </w:rPr>
        <w:lastRenderedPageBreak/>
        <w:t xml:space="preserve">experimental results show that lower feed flow rates and initial concentrations and higher bed height produce the best conditions for the removal. Additionally, three classical models for removal on packed column were used to fit the dynamic behavior of this process and to obtain significantly physical parameters. However, the best fitting was obtained using the model of response surface. </w:t>
      </w:r>
    </w:p>
    <w:p w:rsidR="007E09FA" w:rsidRPr="00B4160A" w:rsidRDefault="00D309D1" w:rsidP="007E09FA">
      <w:pPr>
        <w:pStyle w:val="IndexTerms"/>
        <w:ind w:firstLine="0"/>
      </w:pPr>
      <w:r w:rsidRPr="00C43DB1">
        <w:rPr>
          <w:sz w:val="20"/>
          <w:szCs w:val="18"/>
        </w:rPr>
        <w:t>Key Word</w:t>
      </w:r>
      <w:r w:rsidR="00C43DB1" w:rsidRPr="00C43DB1">
        <w:rPr>
          <w:sz w:val="20"/>
          <w:szCs w:val="18"/>
        </w:rPr>
        <w:t>s</w:t>
      </w:r>
      <w:r w:rsidRPr="00421073">
        <w:rPr>
          <w:szCs w:val="18"/>
        </w:rPr>
        <w:t>--</w:t>
      </w:r>
      <w:r w:rsidR="007E09FA" w:rsidRPr="007E09FA">
        <w:rPr>
          <w:spacing w:val="-4"/>
          <w:szCs w:val="18"/>
        </w:rPr>
        <w:t xml:space="preserve"> </w:t>
      </w:r>
      <w:r w:rsidR="007E09FA" w:rsidRPr="007E09FA">
        <w:rPr>
          <w:b w:val="0"/>
          <w:spacing w:val="-4"/>
          <w:szCs w:val="18"/>
        </w:rPr>
        <w:t>Cassava peel, Chrome, Removal, Rupture time, Packed Column.</w:t>
      </w:r>
    </w:p>
    <w:p w:rsidR="00D309D1" w:rsidRPr="007E09FA" w:rsidRDefault="00D309D1" w:rsidP="00CC08BD">
      <w:pPr>
        <w:tabs>
          <w:tab w:val="left" w:pos="6610"/>
        </w:tabs>
        <w:rPr>
          <w:rFonts w:cs="Times New Roman"/>
          <w:sz w:val="18"/>
          <w:szCs w:val="18"/>
          <w:lang w:val="en-US"/>
        </w:rPr>
      </w:pPr>
    </w:p>
    <w:p w:rsidR="00D309D1" w:rsidRDefault="00525994" w:rsidP="00716B09">
      <w:pPr>
        <w:pStyle w:val="Prrafodelista"/>
        <w:numPr>
          <w:ilvl w:val="0"/>
          <w:numId w:val="3"/>
        </w:numPr>
        <w:tabs>
          <w:tab w:val="left" w:pos="6610"/>
        </w:tabs>
        <w:jc w:val="center"/>
        <w:rPr>
          <w:rFonts w:cs="Times New Roman"/>
          <w:b/>
          <w:szCs w:val="20"/>
        </w:rPr>
      </w:pPr>
      <w:r w:rsidRPr="00D309D1">
        <w:rPr>
          <w:rFonts w:cs="Times New Roman"/>
          <w:b/>
          <w:szCs w:val="20"/>
        </w:rPr>
        <w:t>IN</w:t>
      </w:r>
      <w:r w:rsidR="00745EA9">
        <w:rPr>
          <w:rFonts w:cs="Times New Roman"/>
          <w:b/>
          <w:szCs w:val="20"/>
        </w:rPr>
        <w:t>TRODUCCIÓN</w:t>
      </w:r>
    </w:p>
    <w:p w:rsidR="00F369D9" w:rsidRDefault="00F369D9" w:rsidP="0040221B">
      <w:pPr>
        <w:pStyle w:val="Text"/>
        <w:ind w:firstLine="204"/>
        <w:rPr>
          <w:lang w:val="es-ES"/>
        </w:rPr>
      </w:pPr>
      <w:r>
        <w:rPr>
          <w:lang w:val="es-CO"/>
        </w:rPr>
        <w:t xml:space="preserve">Debido al creciente valor de ciertos metales en la naturaleza, así como debido a un mayor conocimiento de los efectos ecológicos que algunos metales tóxicos liberados  tienen en el entorno, se ha disparado un gran número de estudios acerca de la acumulación de metales desde la perspectiva de la recuperación y remoción de estos </w:t>
      </w:r>
      <w:r>
        <w:rPr>
          <w:lang w:val="es-CO"/>
        </w:rPr>
        <w:fldChar w:fldCharType="begin"/>
      </w:r>
      <w:r>
        <w:rPr>
          <w:lang w:val="es-CO"/>
        </w:rPr>
        <w:instrText xml:space="preserve"> ADDIN EN.CITE &lt;EndNote&gt;&lt;Cite&gt;&lt;Author&gt;Volesky&lt;/Author&gt;&lt;Year&gt;1990&lt;/Year&gt;&lt;RecNum&gt;1&lt;/RecNum&gt;&lt;DisplayText&gt;[1]&lt;/DisplayText&gt;&lt;record&gt;&lt;rec-number&gt;1&lt;/rec-number&gt;&lt;foreign-keys&gt;&lt;key app="EN" db-id="af55vdv5m25e9ve2er6xeed5fe2stf0fdwzw"&gt;1&lt;/key&gt;&lt;/foreign-keys&gt;&lt;ref-type name="Book Section"&gt;5&lt;/ref-type&gt;&lt;contributors&gt;&lt;authors&gt;&lt;author&gt;Bomuhil Volesky&lt;/author&gt;&lt;/authors&gt;&lt;/contributors&gt;&lt;titles&gt;&lt;title&gt;Biosorption and biosorbents&lt;/title&gt;&lt;secondary-title&gt;Biosorption of heavy metals&lt;/secondary-title&gt;&lt;/titles&gt;&lt;pages&gt; 4&lt;/pages&gt;&lt;volume&gt;I&lt;/volume&gt;&lt;dates&gt;&lt;year&gt;1990&lt;/year&gt;&lt;/dates&gt;&lt;pub-location&gt;Florida, Boca raton&lt;/pub-location&gt;&lt;publisher&gt;CRC Press&lt;/publisher&gt;&lt;urls&gt;&lt;/urls&gt;&lt;/record&gt;&lt;/Cite&gt;&lt;/EndNote&gt;</w:instrText>
      </w:r>
      <w:r>
        <w:rPr>
          <w:lang w:val="es-CO"/>
        </w:rPr>
        <w:fldChar w:fldCharType="separate"/>
      </w:r>
      <w:r>
        <w:rPr>
          <w:noProof/>
          <w:lang w:val="es-CO"/>
        </w:rPr>
        <w:t>[</w:t>
      </w:r>
      <w:hyperlink w:anchor="_ENREF_1" w:tooltip="Volesky, 1990 #1" w:history="1">
        <w:r w:rsidR="005E319C">
          <w:rPr>
            <w:noProof/>
            <w:lang w:val="es-CO"/>
          </w:rPr>
          <w:t>1</w:t>
        </w:r>
      </w:hyperlink>
      <w:r>
        <w:rPr>
          <w:noProof/>
          <w:lang w:val="es-CO"/>
        </w:rPr>
        <w:t>]</w:t>
      </w:r>
      <w:r>
        <w:rPr>
          <w:lang w:val="es-CO"/>
        </w:rPr>
        <w:fldChar w:fldCharType="end"/>
      </w:r>
      <w:r w:rsidRPr="00EF5131">
        <w:rPr>
          <w:lang w:val="es-ES"/>
        </w:rPr>
        <w:t>.</w:t>
      </w:r>
      <w:r>
        <w:rPr>
          <w:lang w:val="es-ES"/>
        </w:rPr>
        <w:t xml:space="preserve"> </w:t>
      </w:r>
    </w:p>
    <w:p w:rsidR="00F369D9" w:rsidRPr="00CC103A" w:rsidRDefault="00F369D9" w:rsidP="0040221B">
      <w:pPr>
        <w:pStyle w:val="Text"/>
        <w:ind w:firstLine="204"/>
        <w:rPr>
          <w:lang w:val="es-ES"/>
        </w:rPr>
      </w:pPr>
      <w:r w:rsidRPr="009462C4">
        <w:rPr>
          <w:lang w:val="es-CO"/>
        </w:rPr>
        <w:t>Todos los metales pesado</w:t>
      </w:r>
      <w:r>
        <w:rPr>
          <w:lang w:val="es-CO"/>
        </w:rPr>
        <w:t>s se encuentran presentes en</w:t>
      </w:r>
      <w:r w:rsidRPr="009462C4">
        <w:rPr>
          <w:lang w:val="es-CO"/>
        </w:rPr>
        <w:t xml:space="preserve"> medios acu</w:t>
      </w:r>
      <w:r>
        <w:rPr>
          <w:lang w:val="es-CO"/>
        </w:rPr>
        <w:t xml:space="preserve">osos </w:t>
      </w:r>
      <w:r w:rsidRPr="009462C4">
        <w:rPr>
          <w:lang w:val="es-CO"/>
        </w:rPr>
        <w:t xml:space="preserve">(el agua químicamente pura no existe en </w:t>
      </w:r>
      <w:r w:rsidRPr="009462C4">
        <w:rPr>
          <w:lang w:val="es-CO"/>
        </w:rPr>
        <w:lastRenderedPageBreak/>
        <w:t>la naturaleza), aunque sus concentraciones</w:t>
      </w:r>
      <w:r>
        <w:rPr>
          <w:lang w:val="es-CO"/>
        </w:rPr>
        <w:t xml:space="preserve"> en los cuerpos de agua naturales</w:t>
      </w:r>
      <w:r w:rsidRPr="009462C4">
        <w:rPr>
          <w:lang w:val="es-CO"/>
        </w:rPr>
        <w:t>, son muy bajas.</w:t>
      </w:r>
    </w:p>
    <w:p w:rsidR="00F369D9" w:rsidRPr="00CC103A" w:rsidRDefault="00F369D9" w:rsidP="0040221B">
      <w:pPr>
        <w:pStyle w:val="Text"/>
        <w:ind w:firstLine="204"/>
        <w:rPr>
          <w:lang w:val="es-CO"/>
        </w:rPr>
      </w:pPr>
      <w:r>
        <w:rPr>
          <w:lang w:val="es-CO"/>
        </w:rPr>
        <w:t>En particular, el cromo hexavalente es reconocido como un metal altamente tóxico y considerado como uno de los contaminantes de mayor impacto.</w:t>
      </w:r>
      <w:r>
        <w:rPr>
          <w:lang w:val="es-ES"/>
        </w:rPr>
        <w:t xml:space="preserve"> </w:t>
      </w:r>
      <w:r>
        <w:rPr>
          <w:lang w:val="es-CO"/>
        </w:rPr>
        <w:t xml:space="preserve">El cromo es comúnmente liberado a cuerpos de agua naturales como descarga de una amplia variedad de aguas residuales procedentes de la actividad industrial. Por otro lado, catalizadores que emplean cromo son ampliamente utilizados en diversidad de procesos químicos que incluyen la oxidación selectiva de hidrocarburos. De acuerdo a los lineamientos de la Organización Mundial de la Salud (OMS), la concentración máxima permisible de cromo en aguas potables es de 0.05 mg/l </w:t>
      </w:r>
      <w:r>
        <w:rPr>
          <w:lang w:val="es-CO"/>
        </w:rPr>
        <w:fldChar w:fldCharType="begin"/>
      </w:r>
      <w:r>
        <w:rPr>
          <w:lang w:val="es-CO"/>
        </w:rPr>
        <w:instrText xml:space="preserve"> ADDIN EN.CITE &lt;EndNote&gt;&lt;Cite&gt;&lt;Author&gt;Mojdeh Owlad&lt;/Author&gt;&lt;Year&gt;2008&lt;/Year&gt;&lt;RecNum&gt;2&lt;/RecNum&gt;&lt;DisplayText&gt;[2]&lt;/DisplayText&gt;&lt;record&gt;&lt;rec-number&gt;2&lt;/rec-number&gt;&lt;foreign-keys&gt;&lt;key app="EN" db-id="af55vdv5m25e9ve2er6xeed5fe2stf0fdwzw"&gt;2&lt;/key&gt;&lt;/foreign-keys&gt;&lt;ref-type name="Journal Article"&gt;17&lt;/ref-type&gt;&lt;contributors&gt;&lt;authors&gt;&lt;author&gt;Mojdeh Owlad, Mohamed Kheireddine Aroua, Wan Ashri Wan Daud, Saeid Baroutian&lt;/author&gt;&lt;/authors&gt;&lt;/contributors&gt;&lt;titles&gt;&lt;title&gt;Removal of Hexavalent Chromium-Contaminated Water and Wastewater: A Review&lt;/title&gt;&lt;secondary-title&gt;Water Air and Soil Pollution&lt;/secondary-title&gt;&lt;/titles&gt;&lt;periodical&gt;&lt;full-title&gt;Water Air and Soil Pollution&lt;/full-title&gt;&lt;/periodical&gt;&lt;pages&gt;59-77&lt;/pages&gt;&lt;volume&gt;200(1)&lt;/volume&gt;&lt;dates&gt;&lt;year&gt;2008&lt;/year&gt;&lt;/dates&gt;&lt;urls&gt;&lt;/urls&gt;&lt;/record&gt;&lt;/Cite&gt;&lt;/EndNote&gt;</w:instrText>
      </w:r>
      <w:r>
        <w:rPr>
          <w:lang w:val="es-CO"/>
        </w:rPr>
        <w:fldChar w:fldCharType="separate"/>
      </w:r>
      <w:r>
        <w:rPr>
          <w:noProof/>
          <w:lang w:val="es-CO"/>
        </w:rPr>
        <w:t>[</w:t>
      </w:r>
      <w:hyperlink w:anchor="_ENREF_2" w:tooltip="Mojdeh Owlad, 2008 #2" w:history="1">
        <w:r w:rsidR="005E319C">
          <w:rPr>
            <w:noProof/>
            <w:lang w:val="es-CO"/>
          </w:rPr>
          <w:t>2</w:t>
        </w:r>
      </w:hyperlink>
      <w:r>
        <w:rPr>
          <w:noProof/>
          <w:lang w:val="es-CO"/>
        </w:rPr>
        <w:t>]</w:t>
      </w:r>
      <w:r>
        <w:rPr>
          <w:lang w:val="es-CO"/>
        </w:rPr>
        <w:fldChar w:fldCharType="end"/>
      </w:r>
      <w:r>
        <w:rPr>
          <w:lang w:val="es-CO"/>
        </w:rPr>
        <w:t>.</w:t>
      </w:r>
    </w:p>
    <w:p w:rsidR="00F369D9" w:rsidRDefault="00F369D9" w:rsidP="0040221B">
      <w:pPr>
        <w:pStyle w:val="Text"/>
        <w:ind w:firstLine="204"/>
        <w:rPr>
          <w:lang w:val="es-ES"/>
        </w:rPr>
      </w:pPr>
      <w:r>
        <w:rPr>
          <w:lang w:val="es-ES"/>
        </w:rPr>
        <w:t>Los métodos convencionales para la remoción de metales a partir de disoluciones de procesamiento mineral involucran un amplio espectro de métodos que incluyen, por mencionar unos cuantos, precipitación química, oxidación o reducción química, intercambio iónico, filtración, tratamientos electroquímicos, tecnologías de membrana y recuperación por evaporación. Estos procesos podrían no ser efectivos o extremadamente costosos, especialmente cuando las concentraciones de los metales en las disoluciones van del orden de 1 hasta 100 mg/l.</w:t>
      </w:r>
    </w:p>
    <w:p w:rsidR="00F369D9" w:rsidRPr="00B8092B" w:rsidRDefault="00F369D9" w:rsidP="0040221B">
      <w:pPr>
        <w:pStyle w:val="Text"/>
        <w:ind w:firstLine="204"/>
        <w:rPr>
          <w:lang w:val="es-CO"/>
        </w:rPr>
      </w:pPr>
      <w:r>
        <w:rPr>
          <w:lang w:val="es-ES"/>
        </w:rPr>
        <w:t xml:space="preserve">Métodos alternativos de recuperación y/o remoción de metales que se basan en las propiedades de adsorción de ciertas materias primas de origen natural están siendo considerados </w:t>
      </w:r>
      <w:r>
        <w:rPr>
          <w:lang w:val="es-ES"/>
        </w:rPr>
        <w:fldChar w:fldCharType="begin"/>
      </w:r>
      <w:r>
        <w:rPr>
          <w:lang w:val="es-ES"/>
        </w:rPr>
        <w:instrText xml:space="preserve"> ADDIN EN.CITE &lt;EndNote&gt;&lt;Cite&gt;&lt;Author&gt;Volesky&lt;/Author&gt;&lt;Year&gt;1990&lt;/Year&gt;&lt;RecNum&gt;1&lt;/RecNum&gt;&lt;DisplayText&gt;[1]&lt;/DisplayText&gt;&lt;record&gt;&lt;rec-number&gt;1&lt;/rec-number&gt;&lt;foreign-keys&gt;&lt;key app="EN" db-id="af55vdv5m25e9ve2er6xeed5fe2stf0fdwzw"&gt;1&lt;/key&gt;&lt;/foreign-keys&gt;&lt;ref-type name="Book Section"&gt;5&lt;/ref-type&gt;&lt;contributors&gt;&lt;authors&gt;&lt;author&gt;Bomuhil Volesky&lt;/author&gt;&lt;/authors&gt;&lt;/contributors&gt;&lt;titles&gt;&lt;title&gt;Biosorption and biosorbents&lt;/title&gt;&lt;secondary-title&gt;Biosorption of heavy metals&lt;/secondary-title&gt;&lt;/titles&gt;&lt;pages&gt; 4&lt;/pages&gt;&lt;volume&gt;I&lt;/volume&gt;&lt;dates&gt;&lt;year&gt;1990&lt;/year&gt;&lt;/dates&gt;&lt;pub-location&gt;Florida, Boca raton&lt;/pub-location&gt;&lt;publisher&gt;CRC Press&lt;/publisher&gt;&lt;urls&gt;&lt;/urls&gt;&lt;/record&gt;&lt;/Cite&gt;&lt;/EndNote&gt;</w:instrText>
      </w:r>
      <w:r>
        <w:rPr>
          <w:lang w:val="es-ES"/>
        </w:rPr>
        <w:fldChar w:fldCharType="separate"/>
      </w:r>
      <w:r>
        <w:rPr>
          <w:noProof/>
          <w:lang w:val="es-ES"/>
        </w:rPr>
        <w:t>[</w:t>
      </w:r>
      <w:hyperlink w:anchor="_ENREF_1" w:tooltip="Volesky, 1990 #1" w:history="1">
        <w:r w:rsidR="005E319C">
          <w:rPr>
            <w:noProof/>
            <w:lang w:val="es-ES"/>
          </w:rPr>
          <w:t>1</w:t>
        </w:r>
      </w:hyperlink>
      <w:r>
        <w:rPr>
          <w:noProof/>
          <w:lang w:val="es-ES"/>
        </w:rPr>
        <w:t>]</w:t>
      </w:r>
      <w:r>
        <w:rPr>
          <w:lang w:val="es-ES"/>
        </w:rPr>
        <w:fldChar w:fldCharType="end"/>
      </w:r>
      <w:r>
        <w:rPr>
          <w:lang w:val="es-ES"/>
        </w:rPr>
        <w:t>.</w:t>
      </w:r>
      <w:r w:rsidRPr="00FD7D7E">
        <w:rPr>
          <w:lang w:val="es-CO"/>
        </w:rPr>
        <w:t xml:space="preserve"> </w:t>
      </w:r>
      <w:r w:rsidRPr="007E606E">
        <w:rPr>
          <w:lang w:val="es-CO"/>
        </w:rPr>
        <w:t xml:space="preserve">Tomando como criterios el bajo costo y </w:t>
      </w:r>
      <w:r>
        <w:rPr>
          <w:lang w:val="es-CO"/>
        </w:rPr>
        <w:t>la capacidad de adsorción de los residuos</w:t>
      </w:r>
      <w:r w:rsidRPr="007E606E">
        <w:rPr>
          <w:lang w:val="es-CO"/>
        </w:rPr>
        <w:t xml:space="preserve"> agrícola</w:t>
      </w:r>
      <w:r>
        <w:rPr>
          <w:lang w:val="es-CO"/>
        </w:rPr>
        <w:t>s,</w:t>
      </w:r>
      <w:r w:rsidRPr="00DE410A">
        <w:rPr>
          <w:rFonts w:eastAsia="Calibri"/>
          <w:sz w:val="22"/>
          <w:szCs w:val="22"/>
          <w:lang w:val="es-CO"/>
        </w:rPr>
        <w:t xml:space="preserve"> </w:t>
      </w:r>
      <w:r>
        <w:rPr>
          <w:lang w:val="es-CO"/>
        </w:rPr>
        <w:t>u</w:t>
      </w:r>
      <w:r w:rsidRPr="00834C39">
        <w:rPr>
          <w:lang w:val="es-CO"/>
        </w:rPr>
        <w:t>n proceso que ha resultado promisorio para la remoción</w:t>
      </w:r>
      <w:r>
        <w:rPr>
          <w:lang w:val="es-CO"/>
        </w:rPr>
        <w:t xml:space="preserve"> de metales pesados como Cd(II), Pb(II), y</w:t>
      </w:r>
      <w:r w:rsidRPr="00834C39">
        <w:rPr>
          <w:lang w:val="es-CO"/>
        </w:rPr>
        <w:t xml:space="preserve"> Cr(III)</w:t>
      </w:r>
      <w:r>
        <w:rPr>
          <w:lang w:val="es-CO"/>
        </w:rPr>
        <w:t xml:space="preserve">, es la biosorción con </w:t>
      </w:r>
      <w:r w:rsidRPr="00834C39">
        <w:rPr>
          <w:lang w:val="es-CO"/>
        </w:rPr>
        <w:t xml:space="preserve">un material de bajo costo y de fácil acceso como </w:t>
      </w:r>
      <w:r>
        <w:rPr>
          <w:lang w:val="es-CO"/>
        </w:rPr>
        <w:t xml:space="preserve">es </w:t>
      </w:r>
      <w:r w:rsidRPr="00834C39">
        <w:rPr>
          <w:lang w:val="es-CO"/>
        </w:rPr>
        <w:t>la cáscara de yuca  (</w:t>
      </w:r>
      <w:proofErr w:type="spellStart"/>
      <w:r w:rsidRPr="00834C39">
        <w:rPr>
          <w:i/>
          <w:lang w:val="es-CO"/>
        </w:rPr>
        <w:t>Manihot</w:t>
      </w:r>
      <w:proofErr w:type="spellEnd"/>
      <w:r w:rsidRPr="00834C39">
        <w:rPr>
          <w:i/>
          <w:lang w:val="es-CO"/>
        </w:rPr>
        <w:t xml:space="preserve"> </w:t>
      </w:r>
      <w:proofErr w:type="spellStart"/>
      <w:r w:rsidRPr="00834C39">
        <w:rPr>
          <w:i/>
          <w:lang w:val="es-CO"/>
        </w:rPr>
        <w:t>esculenta</w:t>
      </w:r>
      <w:proofErr w:type="spellEnd"/>
      <w:r>
        <w:rPr>
          <w:lang w:val="es-CO"/>
        </w:rPr>
        <w:t xml:space="preserve">) </w:t>
      </w:r>
      <w:r>
        <w:rPr>
          <w:lang w:val="es-CO"/>
        </w:rPr>
        <w:fldChar w:fldCharType="begin"/>
      </w:r>
      <w:r>
        <w:rPr>
          <w:lang w:val="es-CO"/>
        </w:rPr>
        <w:instrText xml:space="preserve"> ADDIN EN.CITE &lt;EndNote&gt;&lt;Cite&gt;&lt;Author&gt;Schwantes&lt;/Author&gt;&lt;Year&gt;2016&lt;/Year&gt;&lt;RecNum&gt;3&lt;/RecNum&gt;&lt;DisplayText&gt;[3]&lt;/DisplayText&gt;&lt;record&gt;&lt;rec-number&gt;3&lt;/rec-number&gt;&lt;foreign-keys&gt;&lt;key app="EN" db-id="af55vdv5m25e9ve2er6xeed5fe2stf0fdwzw"&gt;3&lt;/key&gt;&lt;key app="ENWeb" db-id=""&gt;0&lt;/key&gt;&lt;/foreign-keys&gt;&lt;ref-type name="Journal Article"&gt;17&lt;/ref-type&gt;&lt;contributors&gt;&lt;authors&gt;&lt;author&gt;Schwantes, Daniel&lt;/author&gt;&lt;author&gt;Gonçalves, Affonso Celso&lt;/author&gt;&lt;author&gt;Coelho, Gustavo Ferreira&lt;/author&gt;&lt;author&gt;Campagnolo, Marcelo Angelo&lt;/author&gt;&lt;author&gt;Dragunski, Douglas Cardoso&lt;/author&gt;&lt;author&gt;Tarley, César Ricardo Teixeira&lt;/author&gt;&lt;author&gt;Miola, Alisson Junior&lt;/author&gt;&lt;author&gt;Leismann, Eduardo Ariel Völz&lt;/author&gt;&lt;/authors&gt;&lt;/contributors&gt;&lt;titles&gt;&lt;title&gt;Chemical Modifications of Cassava Peel as Adsorbent Material for Metals Ions from Wastewater&lt;/title&gt;&lt;secondary-title&gt;Journal of Chemistry&lt;/secondary-title&gt;&lt;/titles&gt;&lt;periodical&gt;&lt;full-title&gt;Journal of Chemistry&lt;/full-title&gt;&lt;/periodical&gt;&lt;pages&gt;1-15&lt;/pages&gt;&lt;volume&gt;2016&lt;/volume&gt;&lt;dates&gt;&lt;year&gt;2016&lt;/year&gt;&lt;/dates&gt;&lt;isbn&gt;2090-9063&amp;#xD;2090-9071&lt;/isbn&gt;&lt;urls&gt;&lt;/urls&gt;&lt;electronic-resource-num&gt;10.1155/2016/3694174&lt;/electronic-resource-num&gt;&lt;/record&gt;&lt;/Cite&gt;&lt;/EndNote&gt;</w:instrText>
      </w:r>
      <w:r>
        <w:rPr>
          <w:lang w:val="es-CO"/>
        </w:rPr>
        <w:fldChar w:fldCharType="separate"/>
      </w:r>
      <w:r>
        <w:rPr>
          <w:noProof/>
          <w:lang w:val="es-CO"/>
        </w:rPr>
        <w:t>[</w:t>
      </w:r>
      <w:hyperlink w:anchor="_ENREF_3" w:tooltip="Schwantes, 2016 #3" w:history="1">
        <w:r w:rsidR="005E319C">
          <w:rPr>
            <w:noProof/>
            <w:lang w:val="es-CO"/>
          </w:rPr>
          <w:t>3</w:t>
        </w:r>
      </w:hyperlink>
      <w:r>
        <w:rPr>
          <w:noProof/>
          <w:lang w:val="es-CO"/>
        </w:rPr>
        <w:t>]</w:t>
      </w:r>
      <w:r>
        <w:rPr>
          <w:lang w:val="es-CO"/>
        </w:rPr>
        <w:fldChar w:fldCharType="end"/>
      </w:r>
      <w:r w:rsidRPr="00834C39">
        <w:rPr>
          <w:lang w:val="es-CO"/>
        </w:rPr>
        <w:t>; sin embargo, estos estudios de adsorción en disolución se han realizado mediante experi</w:t>
      </w:r>
      <w:r>
        <w:rPr>
          <w:lang w:val="es-CO"/>
        </w:rPr>
        <w:t>mentos en lotes</w:t>
      </w:r>
      <w:r w:rsidRPr="00834C39">
        <w:rPr>
          <w:lang w:val="es-CO"/>
        </w:rPr>
        <w:t xml:space="preserve"> que</w:t>
      </w:r>
      <w:r>
        <w:rPr>
          <w:lang w:val="es-CO"/>
        </w:rPr>
        <w:t>,</w:t>
      </w:r>
      <w:r w:rsidRPr="00834C39">
        <w:rPr>
          <w:lang w:val="es-CO"/>
        </w:rPr>
        <w:t xml:space="preserve"> aunque son de buena eficiencia, presentan las desventajas de cualquier proceso discontinuo, por tanto, en es</w:t>
      </w:r>
      <w:r>
        <w:rPr>
          <w:lang w:val="es-CO"/>
        </w:rPr>
        <w:t>ta investigación se propone una</w:t>
      </w:r>
      <w:r w:rsidRPr="00834C39">
        <w:rPr>
          <w:lang w:val="es-CO"/>
        </w:rPr>
        <w:t xml:space="preserve"> alternativa </w:t>
      </w:r>
      <w:r>
        <w:rPr>
          <w:lang w:val="es-CO"/>
        </w:rPr>
        <w:t xml:space="preserve">atractiva </w:t>
      </w:r>
      <w:r w:rsidRPr="00834C39">
        <w:rPr>
          <w:lang w:val="es-CO"/>
        </w:rPr>
        <w:t>para el tratamien</w:t>
      </w:r>
      <w:r>
        <w:rPr>
          <w:lang w:val="es-CO"/>
        </w:rPr>
        <w:t>to de soluciones acuosas con cromo hexavalente</w:t>
      </w:r>
      <w:r w:rsidRPr="00834C39">
        <w:rPr>
          <w:lang w:val="es-CO"/>
        </w:rPr>
        <w:t xml:space="preserve"> basado en los estudios de adsorción en una columna de lecho fijo, utilizando la cáscara de yuca como medio adsorbente.</w:t>
      </w:r>
      <w:r>
        <w:rPr>
          <w:lang w:val="es-ES"/>
        </w:rPr>
        <w:fldChar w:fldCharType="begin"/>
      </w:r>
      <w:r>
        <w:rPr>
          <w:lang w:val="es-ES"/>
        </w:rPr>
        <w:fldChar w:fldCharType="separate"/>
      </w:r>
      <w:r>
        <w:rPr>
          <w:lang w:val="es-ES"/>
        </w:rPr>
        <w:t>(Volesky 1990)</w:t>
      </w:r>
      <w:r>
        <w:rPr>
          <w:lang w:val="es-ES"/>
        </w:rPr>
        <w:fldChar w:fldCharType="end"/>
      </w:r>
      <w:r>
        <w:rPr>
          <w:lang w:val="es-ES"/>
        </w:rPr>
        <w:fldChar w:fldCharType="begin"/>
      </w:r>
      <w:r>
        <w:rPr>
          <w:lang w:val="es-ES"/>
        </w:rPr>
        <w:fldChar w:fldCharType="separate"/>
      </w:r>
      <w:r>
        <w:rPr>
          <w:noProof/>
          <w:lang w:val="es-ES"/>
        </w:rPr>
        <w:t>(Volesky 1990)</w:t>
      </w:r>
      <w:r>
        <w:rPr>
          <w:lang w:val="es-ES"/>
        </w:rPr>
        <w:fldChar w:fldCharType="end"/>
      </w:r>
      <w:r>
        <w:rPr>
          <w:lang w:val="es-ES"/>
        </w:rPr>
        <w:fldChar w:fldCharType="begin"/>
      </w:r>
      <w:r>
        <w:rPr>
          <w:lang w:val="es-ES"/>
        </w:rPr>
        <w:fldChar w:fldCharType="separate"/>
      </w:r>
      <w:r>
        <w:rPr>
          <w:lang w:val="es-ES"/>
        </w:rPr>
        <w:t>(Volesky 1990)</w:t>
      </w:r>
      <w:r>
        <w:rPr>
          <w:lang w:val="es-ES"/>
        </w:rPr>
        <w:fldChar w:fldCharType="end"/>
      </w:r>
      <w:r>
        <w:rPr>
          <w:lang w:val="es-ES"/>
        </w:rPr>
        <w:fldChar w:fldCharType="begin"/>
      </w:r>
      <w:r>
        <w:rPr>
          <w:lang w:val="es-ES"/>
        </w:rPr>
        <w:fldChar w:fldCharType="separate"/>
      </w:r>
      <w:r>
        <w:rPr>
          <w:lang w:val="es-ES"/>
        </w:rPr>
        <w:t>(Volesky 1990)</w:t>
      </w:r>
      <w:r>
        <w:rPr>
          <w:lang w:val="es-ES"/>
        </w:rPr>
        <w:fldChar w:fldCharType="end"/>
      </w:r>
    </w:p>
    <w:p w:rsidR="002C3D10" w:rsidRPr="00140AD0" w:rsidRDefault="002C3D10" w:rsidP="00140AD0">
      <w:pPr>
        <w:pStyle w:val="Prrafodelista"/>
        <w:tabs>
          <w:tab w:val="left" w:pos="6610"/>
        </w:tabs>
        <w:ind w:left="1080" w:firstLine="0"/>
        <w:jc w:val="left"/>
        <w:rPr>
          <w:rFonts w:cs="Times New Roman"/>
          <w:b/>
          <w:szCs w:val="20"/>
        </w:rPr>
      </w:pPr>
    </w:p>
    <w:p w:rsidR="002C3D10" w:rsidRDefault="002C3D10" w:rsidP="00140AD0">
      <w:pPr>
        <w:pStyle w:val="Prrafodelista"/>
        <w:numPr>
          <w:ilvl w:val="0"/>
          <w:numId w:val="3"/>
        </w:numPr>
        <w:tabs>
          <w:tab w:val="left" w:pos="6610"/>
        </w:tabs>
        <w:jc w:val="center"/>
        <w:rPr>
          <w:rFonts w:cs="Times New Roman"/>
          <w:b/>
          <w:szCs w:val="20"/>
        </w:rPr>
      </w:pPr>
      <w:r w:rsidRPr="002C3D10">
        <w:rPr>
          <w:rFonts w:cs="Times New Roman"/>
          <w:b/>
          <w:szCs w:val="20"/>
        </w:rPr>
        <w:t xml:space="preserve">METODOLOGIA </w:t>
      </w:r>
    </w:p>
    <w:p w:rsidR="00140AD0" w:rsidRDefault="00140AD0" w:rsidP="00140AD0">
      <w:pPr>
        <w:pStyle w:val="Prrafodelista"/>
        <w:tabs>
          <w:tab w:val="left" w:pos="6610"/>
        </w:tabs>
        <w:ind w:left="1080"/>
        <w:rPr>
          <w:rFonts w:cs="Times New Roman"/>
          <w:b/>
          <w:szCs w:val="20"/>
        </w:rPr>
      </w:pPr>
    </w:p>
    <w:p w:rsidR="00202EC6" w:rsidRPr="00202EC6" w:rsidRDefault="00202EC6" w:rsidP="00202EC6">
      <w:pPr>
        <w:pStyle w:val="Prrafodelista"/>
        <w:numPr>
          <w:ilvl w:val="0"/>
          <w:numId w:val="5"/>
        </w:numPr>
        <w:rPr>
          <w:rFonts w:cs="Times New Roman"/>
          <w:b/>
          <w:i/>
        </w:rPr>
      </w:pPr>
      <w:r w:rsidRPr="0034328E">
        <w:rPr>
          <w:rFonts w:cs="Times New Roman"/>
          <w:b/>
          <w:i/>
        </w:rPr>
        <w:t>Preparación de las disoluciones de cromo</w:t>
      </w:r>
    </w:p>
    <w:p w:rsidR="00202EC6" w:rsidRPr="00202EC6" w:rsidRDefault="00202EC6" w:rsidP="0040221B">
      <w:pPr>
        <w:tabs>
          <w:tab w:val="left" w:pos="6610"/>
        </w:tabs>
        <w:rPr>
          <w:rFonts w:cs="Times New Roman"/>
          <w:szCs w:val="20"/>
          <w:vertAlign w:val="subscript"/>
        </w:rPr>
      </w:pPr>
      <w:r w:rsidRPr="00202EC6">
        <w:rPr>
          <w:rFonts w:cs="Times New Roman"/>
          <w:szCs w:val="20"/>
        </w:rPr>
        <w:t>Las disoluciones de cromo fueron preparadas usando K</w:t>
      </w:r>
      <w:r w:rsidRPr="00037F03">
        <w:rPr>
          <w:rFonts w:cs="Times New Roman"/>
          <w:szCs w:val="20"/>
        </w:rPr>
        <w:t>2</w:t>
      </w:r>
      <w:r w:rsidRPr="00202EC6">
        <w:rPr>
          <w:rFonts w:cs="Times New Roman"/>
          <w:szCs w:val="20"/>
        </w:rPr>
        <w:t>Cr</w:t>
      </w:r>
      <w:r w:rsidRPr="00037F03">
        <w:rPr>
          <w:rFonts w:cs="Times New Roman"/>
          <w:szCs w:val="20"/>
        </w:rPr>
        <w:t>2</w:t>
      </w:r>
      <w:r w:rsidRPr="00202EC6">
        <w:rPr>
          <w:rFonts w:cs="Times New Roman"/>
          <w:szCs w:val="20"/>
        </w:rPr>
        <w:t>O</w:t>
      </w:r>
      <w:r w:rsidRPr="00037F03">
        <w:rPr>
          <w:rFonts w:cs="Times New Roman"/>
          <w:szCs w:val="20"/>
        </w:rPr>
        <w:t>7</w:t>
      </w:r>
      <w:r w:rsidRPr="00202EC6">
        <w:rPr>
          <w:rFonts w:cs="Times New Roman"/>
          <w:szCs w:val="20"/>
        </w:rPr>
        <w:t>. Se preparó una disolución patrón (1000 mg/L) de Cr mediante la adición de 2,83 mg K</w:t>
      </w:r>
      <w:r w:rsidRPr="00037F03">
        <w:rPr>
          <w:rFonts w:cs="Times New Roman"/>
          <w:szCs w:val="20"/>
        </w:rPr>
        <w:t>2</w:t>
      </w:r>
      <w:r w:rsidRPr="00202EC6">
        <w:rPr>
          <w:rFonts w:cs="Times New Roman"/>
          <w:szCs w:val="20"/>
        </w:rPr>
        <w:t>Cr</w:t>
      </w:r>
      <w:r w:rsidRPr="00037F03">
        <w:rPr>
          <w:rFonts w:cs="Times New Roman"/>
          <w:szCs w:val="20"/>
        </w:rPr>
        <w:t>2</w:t>
      </w:r>
      <w:r w:rsidRPr="00202EC6">
        <w:rPr>
          <w:rFonts w:cs="Times New Roman"/>
          <w:szCs w:val="20"/>
        </w:rPr>
        <w:t>O</w:t>
      </w:r>
      <w:r w:rsidRPr="00037F03">
        <w:rPr>
          <w:rFonts w:cs="Times New Roman"/>
          <w:szCs w:val="20"/>
        </w:rPr>
        <w:t xml:space="preserve">7 </w:t>
      </w:r>
      <w:r w:rsidRPr="00202EC6">
        <w:rPr>
          <w:rFonts w:cs="Times New Roman"/>
          <w:szCs w:val="20"/>
        </w:rPr>
        <w:t>en un litro agua destilada y desionizada. A partir de ella se prepararon las disoluciones necesarias para cada prueba y luego se ajustaba el pH de cada disolución agregando gota a gota una solución diluida de H</w:t>
      </w:r>
      <w:r w:rsidRPr="00037F03">
        <w:rPr>
          <w:rFonts w:cs="Times New Roman"/>
          <w:szCs w:val="20"/>
        </w:rPr>
        <w:t>2</w:t>
      </w:r>
      <w:r w:rsidRPr="00202EC6">
        <w:rPr>
          <w:rFonts w:cs="Times New Roman"/>
          <w:szCs w:val="20"/>
        </w:rPr>
        <w:t>SO</w:t>
      </w:r>
      <w:r w:rsidRPr="00037F03">
        <w:rPr>
          <w:rFonts w:cs="Times New Roman"/>
          <w:szCs w:val="20"/>
        </w:rPr>
        <w:t xml:space="preserve">4 </w:t>
      </w:r>
      <w:r w:rsidRPr="00202EC6">
        <w:rPr>
          <w:rFonts w:cs="Times New Roman"/>
          <w:szCs w:val="20"/>
        </w:rPr>
        <w:t>hasta llegar a un pH de 3</w:t>
      </w:r>
      <w:r w:rsidRPr="00037F03">
        <w:rPr>
          <w:rFonts w:cs="Times New Roman"/>
          <w:szCs w:val="20"/>
        </w:rPr>
        <w:t>+</w:t>
      </w:r>
      <w:r w:rsidRPr="00202EC6">
        <w:rPr>
          <w:rFonts w:cs="Times New Roman"/>
          <w:szCs w:val="20"/>
        </w:rPr>
        <w:t xml:space="preserve"> 0.5</w:t>
      </w:r>
      <w:r w:rsidRPr="00037F03">
        <w:rPr>
          <w:rFonts w:cs="Times New Roman"/>
          <w:szCs w:val="20"/>
        </w:rPr>
        <w:t>.</w:t>
      </w:r>
      <w:r w:rsidRPr="00202EC6">
        <w:rPr>
          <w:rFonts w:cs="Times New Roman"/>
          <w:szCs w:val="20"/>
          <w:lang w:val="es-ES"/>
        </w:rPr>
        <w:t xml:space="preserve"> </w:t>
      </w:r>
    </w:p>
    <w:p w:rsidR="00202EC6" w:rsidRPr="0034328E" w:rsidRDefault="00202EC6" w:rsidP="0034328E">
      <w:pPr>
        <w:pStyle w:val="Prrafodelista"/>
        <w:numPr>
          <w:ilvl w:val="0"/>
          <w:numId w:val="5"/>
        </w:numPr>
        <w:rPr>
          <w:rFonts w:cs="Times New Roman"/>
          <w:b/>
          <w:i/>
        </w:rPr>
      </w:pPr>
      <w:r w:rsidRPr="0034328E">
        <w:rPr>
          <w:rFonts w:cs="Times New Roman"/>
          <w:b/>
          <w:i/>
        </w:rPr>
        <w:t>Biosorbente</w:t>
      </w:r>
    </w:p>
    <w:p w:rsidR="00202EC6" w:rsidRPr="00202EC6" w:rsidRDefault="00202EC6" w:rsidP="00830F9F">
      <w:pPr>
        <w:tabs>
          <w:tab w:val="left" w:pos="6610"/>
        </w:tabs>
        <w:rPr>
          <w:rFonts w:cs="Times New Roman"/>
          <w:szCs w:val="20"/>
          <w:lang w:val="es-ES"/>
        </w:rPr>
      </w:pPr>
      <w:r w:rsidRPr="00202EC6">
        <w:rPr>
          <w:rFonts w:cs="Times New Roman"/>
          <w:szCs w:val="20"/>
          <w:lang w:val="es-ES"/>
        </w:rPr>
        <w:lastRenderedPageBreak/>
        <w:t xml:space="preserve">La cáscara de la yuca fue recolectada de una finca ubicada en Corozal-Sucre, la cual fue lavada con una hidrolavadora en una disolución de ácido sulfúrico a pH 3 para retirar la suciedad de la superficie de la cáscara de yuca. El secado de la cáscara de yuca se realizó en dos etapas: En primer lugar, se secó al sol por un lapso de 12 horas y luego, a 105 °C durante 24 horas en un horno. Posteriormente, se trituró y se ajustó a un tamaño de partícula entre 250 y 400 µm. </w:t>
      </w:r>
    </w:p>
    <w:p w:rsidR="00830F9F" w:rsidRDefault="00202EC6" w:rsidP="00830F9F">
      <w:pPr>
        <w:pStyle w:val="Prrafodelista"/>
        <w:numPr>
          <w:ilvl w:val="0"/>
          <w:numId w:val="5"/>
        </w:numPr>
        <w:ind w:firstLine="204"/>
        <w:rPr>
          <w:rFonts w:cs="Times New Roman"/>
          <w:b/>
          <w:i/>
        </w:rPr>
      </w:pPr>
      <w:r w:rsidRPr="0034328E">
        <w:rPr>
          <w:rFonts w:cs="Times New Roman"/>
          <w:b/>
          <w:i/>
        </w:rPr>
        <w:t>Montaje experimental</w:t>
      </w:r>
    </w:p>
    <w:p w:rsidR="00202EC6" w:rsidRDefault="00C252EA" w:rsidP="00830F9F">
      <w:pPr>
        <w:rPr>
          <w:rFonts w:cs="Times New Roman"/>
          <w:szCs w:val="20"/>
        </w:rPr>
      </w:pPr>
      <w:r w:rsidRPr="00830F9F">
        <w:rPr>
          <w:rFonts w:cs="Times New Roman"/>
          <w:szCs w:val="20"/>
        </w:rPr>
        <w:t xml:space="preserve"> </w:t>
      </w:r>
      <w:r w:rsidR="00202EC6" w:rsidRPr="00830F9F">
        <w:rPr>
          <w:rFonts w:cs="Times New Roman"/>
          <w:szCs w:val="20"/>
        </w:rPr>
        <w:t>Para el estudio de la biosorción se puso en marcha un montaje consistente en una columna de vidrio de 20 cm con lecho de cáscara de yuca pretratada mezclada con anillos rasching de vidrio</w:t>
      </w:r>
      <w:r w:rsidR="00202EC6" w:rsidRPr="00830F9F">
        <w:rPr>
          <w:rFonts w:cs="Times New Roman"/>
          <w:szCs w:val="20"/>
          <w:lang w:val="es-ES"/>
        </w:rPr>
        <w:t xml:space="preserve"> para evitar el desplazamiento del lecho, un tanque de alimento para la disolución inicial conectado a una bomba peristáltica que llevó la disolución desde la parte inferior de la columna pasando a través del lecho, donde ocurre el proceso de biosorción, y luego abandonándola en la parte superior donde eran recolectadas las muestras a lo largo del tiempo. La Fig. 1 muestra un esquema del montaje descrito.</w:t>
      </w:r>
      <w:r w:rsidR="00202EC6" w:rsidRPr="00830F9F">
        <w:rPr>
          <w:rFonts w:cs="Times New Roman"/>
          <w:szCs w:val="20"/>
        </w:rPr>
        <w:t xml:space="preserve"> </w:t>
      </w:r>
    </w:p>
    <w:p w:rsidR="00504B68" w:rsidRDefault="00504B68" w:rsidP="00830F9F">
      <w:pPr>
        <w:rPr>
          <w:rFonts w:cs="Times New Roman"/>
          <w:b/>
          <w:i/>
        </w:rPr>
      </w:pPr>
      <w:r>
        <w:rPr>
          <w:noProof/>
          <w:lang w:eastAsia="es-CO"/>
        </w:rPr>
        <w:drawing>
          <wp:inline distT="0" distB="0" distL="0" distR="0" wp14:anchorId="3BE0CD93" wp14:editId="3A3B597E">
            <wp:extent cx="2786400" cy="2089800"/>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biLevel thresh="75000"/>
                      <a:extLst>
                        <a:ext uri="{28A0092B-C50C-407E-A947-70E740481C1C}">
                          <a14:useLocalDpi xmlns:a14="http://schemas.microsoft.com/office/drawing/2010/main" val="0"/>
                        </a:ext>
                      </a:extLst>
                    </a:blip>
                    <a:srcRect/>
                    <a:stretch>
                      <a:fillRect/>
                    </a:stretch>
                  </pic:blipFill>
                  <pic:spPr bwMode="auto">
                    <a:xfrm>
                      <a:off x="0" y="0"/>
                      <a:ext cx="2786400" cy="2089800"/>
                    </a:xfrm>
                    <a:prstGeom prst="rect">
                      <a:avLst/>
                    </a:prstGeom>
                    <a:noFill/>
                    <a:ln>
                      <a:noFill/>
                    </a:ln>
                  </pic:spPr>
                </pic:pic>
              </a:graphicData>
            </a:graphic>
          </wp:inline>
        </w:drawing>
      </w:r>
    </w:p>
    <w:p w:rsidR="00504B68" w:rsidRPr="00762723" w:rsidRDefault="00504B68" w:rsidP="00504B68">
      <w:pPr>
        <w:rPr>
          <w:rFonts w:cs="Times New Roman"/>
          <w:bCs/>
          <w:sz w:val="16"/>
          <w:szCs w:val="18"/>
        </w:rPr>
      </w:pPr>
      <w:r w:rsidRPr="001B1A3A">
        <w:rPr>
          <w:rFonts w:cs="Times New Roman"/>
          <w:b/>
          <w:bCs/>
          <w:sz w:val="16"/>
          <w:szCs w:val="18"/>
        </w:rPr>
        <w:t>Fig. 1.  Esquema del montaje de la columna de lecho empacado.</w:t>
      </w:r>
      <w:r w:rsidR="00762723">
        <w:rPr>
          <w:rFonts w:cs="Times New Roman"/>
          <w:b/>
          <w:bCs/>
          <w:sz w:val="16"/>
          <w:szCs w:val="18"/>
        </w:rPr>
        <w:t xml:space="preserve"> </w:t>
      </w:r>
      <w:proofErr w:type="spellStart"/>
      <w:r w:rsidR="00762723">
        <w:rPr>
          <w:rFonts w:cs="Times New Roman"/>
          <w:bCs/>
          <w:sz w:val="16"/>
          <w:szCs w:val="18"/>
        </w:rPr>
        <w:t>Fuente</w:t>
      </w:r>
      <w:proofErr w:type="gramStart"/>
      <w:r w:rsidR="00762723">
        <w:rPr>
          <w:rFonts w:cs="Times New Roman"/>
          <w:bCs/>
          <w:sz w:val="16"/>
          <w:szCs w:val="18"/>
        </w:rPr>
        <w:t>:</w:t>
      </w:r>
      <w:r w:rsidR="00A86965">
        <w:rPr>
          <w:rFonts w:cs="Times New Roman"/>
          <w:bCs/>
          <w:sz w:val="16"/>
          <w:szCs w:val="18"/>
        </w:rPr>
        <w:t>Autor</w:t>
      </w:r>
      <w:proofErr w:type="spellEnd"/>
      <w:proofErr w:type="gramEnd"/>
      <w:r w:rsidR="00A86965">
        <w:rPr>
          <w:rFonts w:cs="Times New Roman"/>
          <w:bCs/>
          <w:sz w:val="16"/>
          <w:szCs w:val="18"/>
        </w:rPr>
        <w:t>(es).</w:t>
      </w:r>
    </w:p>
    <w:p w:rsidR="00504B68" w:rsidRDefault="00504B68" w:rsidP="00504B68">
      <w:pPr>
        <w:pStyle w:val="Text"/>
        <w:ind w:firstLine="0"/>
        <w:rPr>
          <w:sz w:val="10"/>
          <w:szCs w:val="10"/>
          <w:lang w:val="es-ES"/>
        </w:rPr>
      </w:pPr>
    </w:p>
    <w:p w:rsidR="00145DCA" w:rsidRDefault="009B2D88" w:rsidP="0040221B">
      <w:pPr>
        <w:pStyle w:val="Prrafodelista"/>
        <w:numPr>
          <w:ilvl w:val="0"/>
          <w:numId w:val="5"/>
        </w:numPr>
        <w:ind w:firstLine="204"/>
        <w:rPr>
          <w:rFonts w:cs="Times New Roman"/>
          <w:b/>
          <w:i/>
        </w:rPr>
      </w:pPr>
      <w:r w:rsidRPr="009B2D88">
        <w:rPr>
          <w:rFonts w:cs="Times New Roman"/>
          <w:b/>
          <w:i/>
        </w:rPr>
        <w:t xml:space="preserve">Diseño experimental </w:t>
      </w:r>
    </w:p>
    <w:p w:rsidR="00145DCA" w:rsidRDefault="00830F9F" w:rsidP="00830F9F">
      <w:pPr>
        <w:rPr>
          <w:rFonts w:cs="Times New Roman"/>
          <w:szCs w:val="20"/>
        </w:rPr>
      </w:pPr>
      <w:r>
        <w:rPr>
          <w:rFonts w:cs="Times New Roman"/>
          <w:szCs w:val="20"/>
        </w:rPr>
        <w:t xml:space="preserve"> </w:t>
      </w:r>
      <w:r w:rsidR="009B2D88" w:rsidRPr="00145DCA">
        <w:rPr>
          <w:rFonts w:cs="Times New Roman"/>
          <w:szCs w:val="20"/>
        </w:rPr>
        <w:t xml:space="preserve">En base a estudios bibliográficos </w:t>
      </w:r>
      <w:r w:rsidR="009B2D88" w:rsidRPr="00145DCA">
        <w:rPr>
          <w:rFonts w:cs="Times New Roman"/>
          <w:szCs w:val="20"/>
        </w:rPr>
        <w:fldChar w:fldCharType="begin">
          <w:fldData xml:space="preserve">PEVuZE5vdGU+PENpdGU+PEF1dGhvcj5DYWxlcm88L0F1dGhvcj48UmVjTnVtPjEwPC9SZWNOdW0+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</w:fldData>
        </w:fldChar>
      </w:r>
      <w:r w:rsidR="009B2D88" w:rsidRPr="00145DCA">
        <w:rPr>
          <w:rFonts w:cs="Times New Roman"/>
          <w:szCs w:val="20"/>
        </w:rPr>
        <w:instrText xml:space="preserve"> ADDIN EN.CITE </w:instrText>
      </w:r>
      <w:r w:rsidR="009B2D88" w:rsidRPr="00145DCA">
        <w:rPr>
          <w:rFonts w:cs="Times New Roman"/>
          <w:szCs w:val="20"/>
        </w:rPr>
        <w:fldChar w:fldCharType="begin">
          <w:fldData xml:space="preserve">PEVuZE5vdGU+PENpdGU+PEF1dGhvcj5DYWxlcm88L0F1dGhvcj48UmVjTnVtPjEwPC9SZWNOdW0+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</w:fldData>
        </w:fldChar>
      </w:r>
      <w:r w:rsidR="009B2D88" w:rsidRPr="00145DCA">
        <w:rPr>
          <w:rFonts w:cs="Times New Roman"/>
          <w:szCs w:val="20"/>
        </w:rPr>
        <w:instrText xml:space="preserve"> ADDIN EN.CITE.DATA </w:instrText>
      </w:r>
      <w:r w:rsidR="009B2D88" w:rsidRPr="00145DCA">
        <w:rPr>
          <w:rFonts w:cs="Times New Roman"/>
          <w:szCs w:val="20"/>
        </w:rPr>
      </w:r>
      <w:r w:rsidR="009B2D88" w:rsidRPr="00145DCA">
        <w:rPr>
          <w:rFonts w:cs="Times New Roman"/>
          <w:szCs w:val="20"/>
        </w:rPr>
        <w:fldChar w:fldCharType="end"/>
      </w:r>
      <w:r w:rsidR="009B2D88" w:rsidRPr="00145DCA">
        <w:rPr>
          <w:rFonts w:cs="Times New Roman"/>
          <w:szCs w:val="20"/>
        </w:rPr>
      </w:r>
      <w:r w:rsidR="009B2D88" w:rsidRPr="00145DCA">
        <w:rPr>
          <w:rFonts w:cs="Times New Roman"/>
          <w:szCs w:val="20"/>
        </w:rPr>
        <w:fldChar w:fldCharType="separate"/>
      </w:r>
      <w:r w:rsidR="009B2D88" w:rsidRPr="00145DCA">
        <w:rPr>
          <w:rFonts w:cs="Times New Roman"/>
          <w:szCs w:val="20"/>
        </w:rPr>
        <w:t>[</w:t>
      </w:r>
      <w:hyperlink w:anchor="_ENREF_4" w:tooltip="Calero,  #10" w:history="1">
        <w:r w:rsidR="005E319C" w:rsidRPr="00145DCA">
          <w:rPr>
            <w:rFonts w:cs="Times New Roman"/>
            <w:szCs w:val="20"/>
          </w:rPr>
          <w:t>4-10</w:t>
        </w:r>
      </w:hyperlink>
      <w:r w:rsidR="009B2D88" w:rsidRPr="00145DCA">
        <w:rPr>
          <w:rFonts w:cs="Times New Roman"/>
          <w:szCs w:val="20"/>
        </w:rPr>
        <w:t>]</w:t>
      </w:r>
      <w:r w:rsidR="009B2D88" w:rsidRPr="00145DCA">
        <w:rPr>
          <w:rFonts w:cs="Times New Roman"/>
          <w:szCs w:val="20"/>
        </w:rPr>
        <w:fldChar w:fldCharType="end"/>
      </w:r>
      <w:r w:rsidR="009B2D88" w:rsidRPr="00145DCA">
        <w:rPr>
          <w:rFonts w:cs="Times New Roman"/>
          <w:szCs w:val="20"/>
        </w:rPr>
        <w:t xml:space="preserve"> se han seleccionado los parámetros de interés a estudiar y el dominio experimental para cada uno de ellos.  Se consideró un sistema con tres factores los</w:t>
      </w:r>
      <w:r w:rsidR="00E53790" w:rsidRPr="00145DCA">
        <w:rPr>
          <w:rFonts w:cs="Times New Roman"/>
          <w:szCs w:val="20"/>
        </w:rPr>
        <w:t xml:space="preserve"> cuales se resumen en la Tabla 1</w:t>
      </w:r>
      <w:r w:rsidR="009B2D88" w:rsidRPr="00145DCA">
        <w:rPr>
          <w:rFonts w:cs="Times New Roman"/>
          <w:szCs w:val="20"/>
        </w:rPr>
        <w:t xml:space="preserve"> junto con los valores altos y bajos seleccionados para el diseño factorial 2</w:t>
      </w:r>
      <w:r w:rsidR="009B2D88" w:rsidRPr="00145DCA">
        <w:rPr>
          <w:rFonts w:cs="Times New Roman"/>
          <w:szCs w:val="20"/>
          <w:vertAlign w:val="superscript"/>
        </w:rPr>
        <w:t>3</w:t>
      </w:r>
      <w:r w:rsidR="009B2D88" w:rsidRPr="00145DCA">
        <w:rPr>
          <w:rFonts w:cs="Times New Roman"/>
          <w:szCs w:val="20"/>
        </w:rPr>
        <w:t>.</w:t>
      </w:r>
    </w:p>
    <w:p w:rsidR="00F51E45" w:rsidRDefault="00F51E45" w:rsidP="00830F9F">
      <w:pPr>
        <w:rPr>
          <w:rFonts w:cs="Times New Roman"/>
          <w:szCs w:val="20"/>
        </w:rPr>
      </w:pPr>
      <w:r>
        <w:rPr>
          <w:rFonts w:cs="Times New Roman"/>
          <w:b/>
          <w:bCs/>
          <w:sz w:val="16"/>
          <w:szCs w:val="18"/>
        </w:rPr>
        <w:t>Tabla</w:t>
      </w:r>
      <w:r w:rsidRPr="001B1A3A">
        <w:rPr>
          <w:rFonts w:cs="Times New Roman"/>
          <w:b/>
          <w:bCs/>
          <w:sz w:val="16"/>
          <w:szCs w:val="18"/>
        </w:rPr>
        <w:t xml:space="preserve">. 1.  </w:t>
      </w:r>
      <w:r w:rsidRPr="00F51E45">
        <w:rPr>
          <w:rFonts w:cs="Times New Roman"/>
          <w:b/>
          <w:bCs/>
          <w:sz w:val="16"/>
          <w:szCs w:val="18"/>
          <w:lang w:val="es-ES"/>
        </w:rPr>
        <w:t>Factores y valores altos y bajos seleccionados para el diseño de experimentos</w:t>
      </w:r>
    </w:p>
    <w:tbl>
      <w:tblPr>
        <w:tblStyle w:val="PlainTable2"/>
        <w:tblW w:w="0" w:type="auto"/>
        <w:tblLook w:val="04A0" w:firstRow="1" w:lastRow="0" w:firstColumn="1" w:lastColumn="0" w:noHBand="0" w:noVBand="1"/>
      </w:tblPr>
      <w:tblGrid>
        <w:gridCol w:w="3087"/>
        <w:gridCol w:w="888"/>
        <w:gridCol w:w="848"/>
      </w:tblGrid>
      <w:tr w:rsidR="00A86965" w:rsidTr="00F51E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86965" w:rsidRPr="00F51E45" w:rsidRDefault="00A86965" w:rsidP="00F51E45">
            <w:pPr>
              <w:jc w:val="center"/>
              <w:rPr>
                <w:sz w:val="18"/>
                <w:szCs w:val="18"/>
              </w:rPr>
            </w:pPr>
            <w:r w:rsidRPr="00F51E45">
              <w:rPr>
                <w:sz w:val="18"/>
                <w:szCs w:val="18"/>
              </w:rPr>
              <w:t>Factores</w:t>
            </w:r>
          </w:p>
        </w:tc>
        <w:tc>
          <w:tcPr>
            <w:tcW w:w="0" w:type="auto"/>
          </w:tcPr>
          <w:p w:rsidR="00A86965" w:rsidRPr="00F51E45" w:rsidRDefault="00A86965" w:rsidP="00F51E45">
            <w:pPr>
              <w:ind w:firstLine="0"/>
              <w:jc w:val="center"/>
              <w:cnfStyle w:val="100000000000" w:firstRow="1" w:lastRow="0" w:firstColumn="0" w:lastColumn="0" w:oddVBand="0" w:evenVBand="0" w:oddHBand="0" w:evenHBand="0" w:firstRowFirstColumn="0" w:firstRowLastColumn="0" w:lastRowFirstColumn="0" w:lastRowLastColumn="0"/>
              <w:rPr>
                <w:sz w:val="18"/>
                <w:szCs w:val="18"/>
              </w:rPr>
            </w:pPr>
            <w:r w:rsidRPr="00F51E45">
              <w:rPr>
                <w:sz w:val="18"/>
                <w:szCs w:val="18"/>
              </w:rPr>
              <w:t>nivel bajo</w:t>
            </w:r>
          </w:p>
        </w:tc>
        <w:tc>
          <w:tcPr>
            <w:tcW w:w="0" w:type="auto"/>
          </w:tcPr>
          <w:p w:rsidR="00A86965" w:rsidRPr="00F51E45" w:rsidRDefault="00A86965" w:rsidP="00F51E45">
            <w:pPr>
              <w:ind w:firstLine="0"/>
              <w:jc w:val="center"/>
              <w:cnfStyle w:val="100000000000" w:firstRow="1" w:lastRow="0" w:firstColumn="0" w:lastColumn="0" w:oddVBand="0" w:evenVBand="0" w:oddHBand="0" w:evenHBand="0" w:firstRowFirstColumn="0" w:firstRowLastColumn="0" w:lastRowFirstColumn="0" w:lastRowLastColumn="0"/>
              <w:rPr>
                <w:sz w:val="18"/>
                <w:szCs w:val="18"/>
              </w:rPr>
            </w:pPr>
            <w:r w:rsidRPr="00F51E45">
              <w:rPr>
                <w:sz w:val="18"/>
                <w:szCs w:val="18"/>
              </w:rPr>
              <w:t>nivel alto</w:t>
            </w:r>
          </w:p>
        </w:tc>
      </w:tr>
      <w:tr w:rsidR="00A86965" w:rsidTr="00F51E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86965" w:rsidRPr="00F51E45" w:rsidRDefault="00A86965" w:rsidP="00F51E45">
            <w:pPr>
              <w:jc w:val="center"/>
              <w:rPr>
                <w:b w:val="0"/>
                <w:sz w:val="18"/>
                <w:szCs w:val="18"/>
              </w:rPr>
            </w:pPr>
            <w:r w:rsidRPr="00F51E45">
              <w:rPr>
                <w:b w:val="0"/>
                <w:sz w:val="18"/>
                <w:szCs w:val="18"/>
              </w:rPr>
              <w:t>Caudal de alimentación (ml/min)</w:t>
            </w:r>
          </w:p>
        </w:tc>
        <w:tc>
          <w:tcPr>
            <w:tcW w:w="0" w:type="auto"/>
          </w:tcPr>
          <w:p w:rsidR="00A86965" w:rsidRPr="00DE5ED5" w:rsidRDefault="00A86965" w:rsidP="00F51E45">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DE5ED5">
              <w:rPr>
                <w:sz w:val="18"/>
                <w:szCs w:val="18"/>
              </w:rPr>
              <w:t>4</w:t>
            </w:r>
          </w:p>
        </w:tc>
        <w:tc>
          <w:tcPr>
            <w:tcW w:w="0" w:type="auto"/>
          </w:tcPr>
          <w:p w:rsidR="00A86965" w:rsidRPr="00DE5ED5" w:rsidRDefault="00A86965" w:rsidP="00F51E45">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DE5ED5">
              <w:rPr>
                <w:sz w:val="18"/>
                <w:szCs w:val="18"/>
              </w:rPr>
              <w:t>10</w:t>
            </w:r>
          </w:p>
        </w:tc>
      </w:tr>
      <w:tr w:rsidR="00A86965" w:rsidTr="00F51E45">
        <w:tc>
          <w:tcPr>
            <w:cnfStyle w:val="001000000000" w:firstRow="0" w:lastRow="0" w:firstColumn="1" w:lastColumn="0" w:oddVBand="0" w:evenVBand="0" w:oddHBand="0" w:evenHBand="0" w:firstRowFirstColumn="0" w:firstRowLastColumn="0" w:lastRowFirstColumn="0" w:lastRowLastColumn="0"/>
            <w:tcW w:w="0" w:type="auto"/>
          </w:tcPr>
          <w:p w:rsidR="00A86965" w:rsidRPr="00F51E45" w:rsidRDefault="00A86965" w:rsidP="00F51E45">
            <w:pPr>
              <w:jc w:val="center"/>
              <w:rPr>
                <w:b w:val="0"/>
                <w:sz w:val="18"/>
                <w:szCs w:val="18"/>
              </w:rPr>
            </w:pPr>
            <w:r w:rsidRPr="00F51E45">
              <w:rPr>
                <w:b w:val="0"/>
                <w:sz w:val="18"/>
                <w:szCs w:val="18"/>
              </w:rPr>
              <w:t>Concentración del flujo de alimentación (mg/l)</w:t>
            </w:r>
          </w:p>
        </w:tc>
        <w:tc>
          <w:tcPr>
            <w:tcW w:w="0" w:type="auto"/>
          </w:tcPr>
          <w:p w:rsidR="00A86965" w:rsidRPr="00DE5ED5" w:rsidRDefault="00A86965" w:rsidP="00F51E45">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DE5ED5">
              <w:rPr>
                <w:sz w:val="18"/>
                <w:szCs w:val="18"/>
              </w:rPr>
              <w:t>40</w:t>
            </w:r>
          </w:p>
        </w:tc>
        <w:tc>
          <w:tcPr>
            <w:tcW w:w="0" w:type="auto"/>
          </w:tcPr>
          <w:p w:rsidR="00A86965" w:rsidRPr="00DE5ED5" w:rsidRDefault="00A86965" w:rsidP="00F51E45">
            <w:pPr>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DE5ED5">
              <w:rPr>
                <w:sz w:val="18"/>
                <w:szCs w:val="18"/>
              </w:rPr>
              <w:t>100</w:t>
            </w:r>
          </w:p>
        </w:tc>
      </w:tr>
      <w:tr w:rsidR="00A86965" w:rsidTr="00F51E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86965" w:rsidRPr="00F51E45" w:rsidRDefault="00A86965" w:rsidP="00F51E45">
            <w:pPr>
              <w:jc w:val="center"/>
              <w:rPr>
                <w:b w:val="0"/>
                <w:sz w:val="18"/>
                <w:szCs w:val="18"/>
              </w:rPr>
            </w:pPr>
            <w:r w:rsidRPr="00F51E45">
              <w:rPr>
                <w:b w:val="0"/>
                <w:sz w:val="18"/>
                <w:szCs w:val="18"/>
              </w:rPr>
              <w:t>Altura del lecho (cm)</w:t>
            </w:r>
          </w:p>
        </w:tc>
        <w:tc>
          <w:tcPr>
            <w:tcW w:w="0" w:type="auto"/>
          </w:tcPr>
          <w:p w:rsidR="00A86965" w:rsidRPr="00DE5ED5" w:rsidRDefault="00A86965" w:rsidP="00F51E45">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DE5ED5">
              <w:rPr>
                <w:sz w:val="18"/>
                <w:szCs w:val="18"/>
              </w:rPr>
              <w:t>4.4</w:t>
            </w:r>
          </w:p>
        </w:tc>
        <w:tc>
          <w:tcPr>
            <w:tcW w:w="0" w:type="auto"/>
          </w:tcPr>
          <w:p w:rsidR="00A86965" w:rsidRPr="00DE5ED5" w:rsidRDefault="00A86965" w:rsidP="00F51E45">
            <w:pPr>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DE5ED5">
              <w:rPr>
                <w:sz w:val="18"/>
                <w:szCs w:val="18"/>
              </w:rPr>
              <w:t>14.3</w:t>
            </w:r>
          </w:p>
        </w:tc>
      </w:tr>
    </w:tbl>
    <w:p w:rsidR="00317FA7" w:rsidRDefault="00317FA7" w:rsidP="005E0A68">
      <w:pPr>
        <w:tabs>
          <w:tab w:val="left" w:pos="6610"/>
        </w:tabs>
        <w:rPr>
          <w:rFonts w:cs="Times New Roman"/>
          <w:szCs w:val="20"/>
        </w:rPr>
      </w:pPr>
    </w:p>
    <w:p w:rsidR="00317FA7" w:rsidRDefault="00830F9F" w:rsidP="00317FA7">
      <w:pPr>
        <w:tabs>
          <w:tab w:val="left" w:pos="6610"/>
        </w:tabs>
        <w:rPr>
          <w:rFonts w:cs="Times New Roman"/>
          <w:szCs w:val="20"/>
        </w:rPr>
      </w:pPr>
      <w:r>
        <w:rPr>
          <w:rFonts w:cs="Times New Roman"/>
          <w:szCs w:val="20"/>
        </w:rPr>
        <w:lastRenderedPageBreak/>
        <w:t xml:space="preserve"> </w:t>
      </w:r>
      <w:r w:rsidR="00E53790" w:rsidRPr="00E53790">
        <w:rPr>
          <w:rFonts w:cs="Times New Roman"/>
          <w:szCs w:val="20"/>
        </w:rPr>
        <w:t>Los experimentos se realizaron en orden aleatorio para minimizar los efectos de otros factores no considerados sobre los resultados y proporcionar seguridad en la precisión de los datos. Se seleccionó la remoción en mg/l y el tiempo de ruptura en segundos como variables de respuesta.</w:t>
      </w:r>
    </w:p>
    <w:p w:rsidR="00145DCA" w:rsidRDefault="00E53790" w:rsidP="00317FA7">
      <w:pPr>
        <w:pStyle w:val="Prrafodelista"/>
        <w:numPr>
          <w:ilvl w:val="0"/>
          <w:numId w:val="5"/>
        </w:numPr>
        <w:rPr>
          <w:rFonts w:cs="Times New Roman"/>
          <w:b/>
          <w:i/>
        </w:rPr>
      </w:pPr>
      <w:r w:rsidRPr="00E53790">
        <w:rPr>
          <w:rFonts w:cs="Times New Roman"/>
          <w:b/>
          <w:i/>
        </w:rPr>
        <w:t>Determinación del pH</w:t>
      </w:r>
    </w:p>
    <w:p w:rsidR="00E53790" w:rsidRPr="00145DCA" w:rsidRDefault="005E0A68" w:rsidP="005E0A68">
      <w:pPr>
        <w:rPr>
          <w:rFonts w:cs="Times New Roman"/>
          <w:b/>
          <w:i/>
        </w:rPr>
      </w:pPr>
      <w:r>
        <w:rPr>
          <w:rFonts w:cs="Times New Roman"/>
          <w:szCs w:val="20"/>
        </w:rPr>
        <w:t xml:space="preserve">  </w:t>
      </w:r>
      <w:r w:rsidR="00E53790" w:rsidRPr="00145DCA">
        <w:rPr>
          <w:rFonts w:cs="Times New Roman"/>
          <w:szCs w:val="20"/>
        </w:rPr>
        <w:t xml:space="preserve">Se agregaron 2.2 gramos de cáscara de yuca tratada en 100 mL de agua destilada; posteriormente se calentó dicha mezcla hasta ebullición y se mantuvo en ese punto durante 2 minutos, después se realizó la filtración de la solución y con los primeros 25 mL se enjuagó el vaso donde cayó el filtrado; por último, se filtró el resto de la mezcla y finalmente se realizó la medición del pH de la solución usando un medidor de pH </w:t>
      </w:r>
      <w:proofErr w:type="spellStart"/>
      <w:r w:rsidR="00E53790" w:rsidRPr="00145DCA">
        <w:rPr>
          <w:rFonts w:cs="Times New Roman"/>
          <w:szCs w:val="20"/>
        </w:rPr>
        <w:t>Thermo</w:t>
      </w:r>
      <w:proofErr w:type="spellEnd"/>
      <w:r w:rsidR="00E53790" w:rsidRPr="00145DCA">
        <w:rPr>
          <w:rFonts w:cs="Times New Roman"/>
          <w:szCs w:val="20"/>
        </w:rPr>
        <w:t xml:space="preserve"> </w:t>
      </w:r>
      <w:proofErr w:type="spellStart"/>
      <w:r w:rsidR="00E53790" w:rsidRPr="00145DCA">
        <w:rPr>
          <w:rFonts w:cs="Times New Roman"/>
          <w:szCs w:val="20"/>
        </w:rPr>
        <w:t>Electronic</w:t>
      </w:r>
      <w:proofErr w:type="spellEnd"/>
      <w:r w:rsidR="00E53790" w:rsidRPr="00145DCA">
        <w:rPr>
          <w:rFonts w:cs="Times New Roman"/>
          <w:szCs w:val="20"/>
        </w:rPr>
        <w:t xml:space="preserve"> </w:t>
      </w:r>
      <w:proofErr w:type="spellStart"/>
      <w:r w:rsidR="00E53790" w:rsidRPr="00145DCA">
        <w:rPr>
          <w:rFonts w:cs="Times New Roman"/>
          <w:szCs w:val="20"/>
        </w:rPr>
        <w:t>Corporation</w:t>
      </w:r>
      <w:proofErr w:type="spellEnd"/>
      <w:r w:rsidR="00E53790" w:rsidRPr="00145DCA">
        <w:rPr>
          <w:rFonts w:cs="Times New Roman"/>
          <w:szCs w:val="20"/>
        </w:rPr>
        <w:t xml:space="preserve"> modelo Orión 210A+ </w:t>
      </w:r>
      <w:r w:rsidR="00E53790" w:rsidRPr="00145DCA">
        <w:rPr>
          <w:rFonts w:cs="Times New Roman"/>
          <w:szCs w:val="20"/>
        </w:rPr>
        <w:fldChar w:fldCharType="begin"/>
      </w:r>
      <w:r w:rsidR="00E53790" w:rsidRPr="00145DCA">
        <w:rPr>
          <w:rFonts w:cs="Times New Roman"/>
          <w:szCs w:val="20"/>
        </w:rPr>
        <w:instrText xml:space="preserve"> ADDIN EN.CITE &lt;EndNote&gt;&lt;Cite&gt;&lt;Author&gt;ICONTEC&lt;/Author&gt;&lt;Year&gt;1998&lt;/Year&gt;&lt;RecNum&gt;13&lt;/RecNum&gt;&lt;DisplayText&gt;[11]&lt;/DisplayText&gt;&lt;record&gt;&lt;rec-number&gt;13&lt;/rec-number&gt;&lt;foreign-keys&gt;&lt;key app="EN" db-id="af55vdv5m25e9ve2er6xeed5fe2stf0fdwzw"&gt;13&lt;/key&gt;&lt;/foreign-keys&gt;&lt;ref-type name="Legal Rule or Regulation"&gt;50&lt;/ref-type&gt;&lt;contributors&gt;&lt;authors&gt;&lt;author&gt;ICONTEC&lt;/author&gt;&lt;/authors&gt;&lt;secondary-authors&gt;&lt;author&gt;ICONTEC&lt;/author&gt;&lt;/secondary-authors&gt;&lt;/contributors&gt;&lt;titles&gt;&lt;title&gt;Métodos de Ensayo: Determinación del pH de la muestra&lt;/title&gt;&lt;/titles&gt;&lt;dates&gt;&lt;year&gt;1998&lt;/year&gt;&lt;/dates&gt;&lt;urls&gt;&lt;/urls&gt;&lt;/record&gt;&lt;/Cite&gt;&lt;/EndNote&gt;</w:instrText>
      </w:r>
      <w:r w:rsidR="00E53790" w:rsidRPr="00145DCA">
        <w:rPr>
          <w:rFonts w:cs="Times New Roman"/>
          <w:szCs w:val="20"/>
        </w:rPr>
        <w:fldChar w:fldCharType="separate"/>
      </w:r>
      <w:r w:rsidR="00E53790" w:rsidRPr="00145DCA">
        <w:rPr>
          <w:rFonts w:cs="Times New Roman"/>
          <w:szCs w:val="20"/>
        </w:rPr>
        <w:t>[</w:t>
      </w:r>
      <w:hyperlink w:anchor="_ENREF_11" w:tooltip="ICONTEC, 1998 #13" w:history="1">
        <w:r w:rsidR="005E319C" w:rsidRPr="00145DCA">
          <w:rPr>
            <w:rFonts w:cs="Times New Roman"/>
            <w:szCs w:val="20"/>
          </w:rPr>
          <w:t>11</w:t>
        </w:r>
      </w:hyperlink>
      <w:r w:rsidR="00E53790" w:rsidRPr="00145DCA">
        <w:rPr>
          <w:rFonts w:cs="Times New Roman"/>
          <w:szCs w:val="20"/>
        </w:rPr>
        <w:t>]</w:t>
      </w:r>
      <w:r w:rsidR="00E53790" w:rsidRPr="00145DCA">
        <w:rPr>
          <w:rFonts w:cs="Times New Roman"/>
          <w:szCs w:val="20"/>
        </w:rPr>
        <w:fldChar w:fldCharType="end"/>
      </w:r>
      <w:r w:rsidR="00E53790" w:rsidRPr="00145DCA">
        <w:rPr>
          <w:rFonts w:cs="Times New Roman"/>
          <w:szCs w:val="20"/>
        </w:rPr>
        <w:t>.</w:t>
      </w:r>
    </w:p>
    <w:p w:rsidR="0040221B" w:rsidRDefault="00E53790" w:rsidP="00AC3769">
      <w:pPr>
        <w:pStyle w:val="Prrafodelista"/>
        <w:numPr>
          <w:ilvl w:val="0"/>
          <w:numId w:val="5"/>
        </w:numPr>
        <w:rPr>
          <w:rFonts w:cs="Times New Roman"/>
          <w:b/>
          <w:i/>
        </w:rPr>
      </w:pPr>
      <w:r w:rsidRPr="00436856">
        <w:rPr>
          <w:rFonts w:cs="Times New Roman"/>
          <w:b/>
          <w:i/>
        </w:rPr>
        <w:t>Determinación de la humedad</w:t>
      </w:r>
    </w:p>
    <w:p w:rsidR="005B54C1" w:rsidRPr="005B54C1" w:rsidRDefault="005B54C1" w:rsidP="005B54C1">
      <w:pPr>
        <w:rPr>
          <w:rFonts w:cs="Times New Roman"/>
          <w:b/>
          <w:i/>
        </w:rPr>
      </w:pPr>
      <w:r w:rsidRPr="0040221B">
        <w:rPr>
          <w:rFonts w:cs="Times New Roman"/>
          <w:szCs w:val="20"/>
        </w:rPr>
        <w:t xml:space="preserve"> </w:t>
      </w:r>
      <w:r w:rsidR="00E53790" w:rsidRPr="0040221B">
        <w:rPr>
          <w:rFonts w:cs="Times New Roman"/>
          <w:szCs w:val="20"/>
        </w:rPr>
        <w:t>Para la determinación de la humedad en la cáscara de yuca se tomó una muestra significativa de la cáscara de yuca, la cual fue pesada y llevada a un horno a temperatura de 105°C por un periodo de 24 horas, terminado el tiempo se tomó la muestra y se pesó nuevamente, se comparó el peso inicial de la muestra antes y después del secado, y el resultado de esta dio el peso en agua que se evaporó con el calentamiento la cual se expresó como humedad.</w:t>
      </w:r>
    </w:p>
    <w:p w:rsidR="005E0A68" w:rsidRDefault="00E53790" w:rsidP="005E0A68">
      <w:pPr>
        <w:pStyle w:val="Prrafodelista"/>
        <w:numPr>
          <w:ilvl w:val="0"/>
          <w:numId w:val="5"/>
        </w:numPr>
        <w:rPr>
          <w:rFonts w:cs="Times New Roman"/>
          <w:b/>
          <w:i/>
        </w:rPr>
      </w:pPr>
      <w:r w:rsidRPr="00436856">
        <w:rPr>
          <w:rFonts w:cs="Times New Roman"/>
          <w:b/>
          <w:i/>
        </w:rPr>
        <w:t>Determinación de la porosidad</w:t>
      </w:r>
    </w:p>
    <w:p w:rsidR="00E53790" w:rsidRPr="005E0A68" w:rsidRDefault="005B54C1" w:rsidP="005E0A68">
      <w:pPr>
        <w:rPr>
          <w:rFonts w:cs="Times New Roman"/>
          <w:b/>
          <w:i/>
        </w:rPr>
      </w:pPr>
      <w:r w:rsidRPr="005E0A68">
        <w:rPr>
          <w:rFonts w:cs="Times New Roman"/>
          <w:szCs w:val="20"/>
        </w:rPr>
        <w:t xml:space="preserve"> </w:t>
      </w:r>
      <w:r w:rsidR="00E53790" w:rsidRPr="005E0A68">
        <w:rPr>
          <w:rFonts w:cs="Times New Roman"/>
          <w:szCs w:val="20"/>
        </w:rPr>
        <w:t xml:space="preserve">La porosidad se determinó por el desplazamiento del aire en el lecho, mediante agua en un determinado volumen de yuca. En una probeta se colocó una muestra de cáscara de yuca y se enrasó con agua hasta el nivel de la muestra. Seguidamente se estableció por diferencia entre el volumen de agua inicial y el final. La porosidad se determinó con la ecuación (1). </w:t>
      </w:r>
    </w:p>
    <w:p w:rsidR="00E53790" w:rsidRPr="00E53790" w:rsidRDefault="00E53790" w:rsidP="00E53790">
      <w:pPr>
        <w:tabs>
          <w:tab w:val="left" w:pos="6610"/>
        </w:tabs>
        <w:rPr>
          <w:rFonts w:cs="Times New Roman"/>
          <w:szCs w:val="20"/>
        </w:rPr>
      </w:pPr>
      <m:oMathPara>
        <m:oMathParaPr>
          <m:jc m:val="right"/>
        </m:oMathParaPr>
        <m:oMath>
          <m:r>
            <w:rPr>
              <w:rFonts w:ascii="Cambria Math" w:hAnsi="Cambria Math" w:cs="Times New Roman"/>
              <w:szCs w:val="20"/>
            </w:rPr>
            <m:t>porosidad=</m:t>
          </m:r>
          <m:f>
            <m:fPr>
              <m:ctrlPr>
                <w:rPr>
                  <w:rFonts w:ascii="Cambria Math" w:hAnsi="Cambria Math" w:cs="Times New Roman"/>
                  <w:i/>
                  <w:szCs w:val="20"/>
                </w:rPr>
              </m:ctrlPr>
            </m:fPr>
            <m:num>
              <m:r>
                <w:rPr>
                  <w:rFonts w:ascii="Cambria Math" w:hAnsi="Cambria Math" w:cs="Times New Roman"/>
                  <w:szCs w:val="20"/>
                </w:rPr>
                <m:t>Volumen de agua empleada</m:t>
              </m:r>
            </m:num>
            <m:den>
              <m:r>
                <w:rPr>
                  <w:rFonts w:ascii="Cambria Math" w:hAnsi="Cambria Math" w:cs="Times New Roman"/>
                  <w:szCs w:val="20"/>
                </w:rPr>
                <m:t>Volumen de muestra</m:t>
              </m:r>
            </m:den>
          </m:f>
          <m:r>
            <w:rPr>
              <w:rFonts w:ascii="Cambria Math" w:hAnsi="Cambria Math" w:cs="Times New Roman"/>
              <w:szCs w:val="20"/>
            </w:rPr>
            <m:t xml:space="preserve">         (1)</m:t>
          </m:r>
        </m:oMath>
      </m:oMathPara>
    </w:p>
    <w:p w:rsidR="00E53790" w:rsidRPr="00E53790" w:rsidRDefault="00E53790" w:rsidP="00E53790">
      <w:pPr>
        <w:tabs>
          <w:tab w:val="left" w:pos="6610"/>
        </w:tabs>
        <w:rPr>
          <w:rFonts w:cs="Times New Roman"/>
          <w:szCs w:val="20"/>
        </w:rPr>
      </w:pPr>
    </w:p>
    <w:p w:rsidR="005E0A68" w:rsidRDefault="00E53790" w:rsidP="005E0A68">
      <w:pPr>
        <w:pStyle w:val="Prrafodelista"/>
        <w:numPr>
          <w:ilvl w:val="0"/>
          <w:numId w:val="5"/>
        </w:numPr>
        <w:rPr>
          <w:rFonts w:cs="Times New Roman"/>
          <w:b/>
          <w:i/>
        </w:rPr>
      </w:pPr>
      <w:r w:rsidRPr="00436856">
        <w:rPr>
          <w:rFonts w:cs="Times New Roman"/>
          <w:b/>
          <w:i/>
        </w:rPr>
        <w:t>Determinación de la concentración de cromo         hexavalente de las soluciones</w:t>
      </w:r>
    </w:p>
    <w:p w:rsidR="00E53790" w:rsidRPr="00B133A3" w:rsidRDefault="009A75B3" w:rsidP="005E0A68">
      <w:pPr>
        <w:rPr>
          <w:rFonts w:cs="Times New Roman"/>
          <w:szCs w:val="20"/>
        </w:rPr>
      </w:pPr>
      <w:r w:rsidRPr="005E0A68">
        <w:rPr>
          <w:rFonts w:cs="Times New Roman"/>
          <w:szCs w:val="20"/>
        </w:rPr>
        <w:t xml:space="preserve"> </w:t>
      </w:r>
      <w:r w:rsidR="00E53790" w:rsidRPr="005E0A68">
        <w:rPr>
          <w:rFonts w:cs="Times New Roman"/>
          <w:szCs w:val="20"/>
        </w:rPr>
        <w:t>En todas las soluciones y muestras la concentración de Cr (VI) se midió usando un espectrómetro S2 PICOFOX cuyo principio es el de espectroscopia de fluorescencia de rayos x de reflexión total. Se utilizó un estándar interno de Galio (Sigma-Aldrich).</w:t>
      </w:r>
    </w:p>
    <w:p w:rsidR="00E53790" w:rsidRPr="00436856" w:rsidRDefault="00E53790" w:rsidP="00436856">
      <w:pPr>
        <w:pStyle w:val="Prrafodelista"/>
        <w:numPr>
          <w:ilvl w:val="0"/>
          <w:numId w:val="5"/>
        </w:numPr>
        <w:rPr>
          <w:rFonts w:cs="Times New Roman"/>
          <w:b/>
          <w:i/>
        </w:rPr>
      </w:pPr>
      <w:r w:rsidRPr="00436856">
        <w:rPr>
          <w:rFonts w:cs="Times New Roman"/>
          <w:b/>
          <w:i/>
        </w:rPr>
        <w:t>Densidad</w:t>
      </w:r>
    </w:p>
    <w:p w:rsidR="00E53790" w:rsidRPr="00E53790" w:rsidRDefault="009A75B3" w:rsidP="009A75B3">
      <w:pPr>
        <w:tabs>
          <w:tab w:val="left" w:pos="6610"/>
        </w:tabs>
        <w:ind w:firstLine="0"/>
        <w:rPr>
          <w:rFonts w:cs="Times New Roman"/>
          <w:szCs w:val="20"/>
        </w:rPr>
      </w:pPr>
      <w:r>
        <w:rPr>
          <w:rFonts w:cs="Times New Roman"/>
          <w:szCs w:val="20"/>
        </w:rPr>
        <w:t xml:space="preserve">     </w:t>
      </w:r>
      <w:r w:rsidR="00E53790" w:rsidRPr="00E53790">
        <w:rPr>
          <w:rFonts w:cs="Times New Roman"/>
          <w:szCs w:val="20"/>
        </w:rPr>
        <w:t>Se midió el volumen de una muestra de residuo de cáscara de yuca de masa ya conocida y se calculó la relación entre masa y volumen.</w:t>
      </w:r>
    </w:p>
    <w:p w:rsidR="00E53790" w:rsidRPr="00436856" w:rsidRDefault="00E53790" w:rsidP="00436856">
      <w:pPr>
        <w:pStyle w:val="Prrafodelista"/>
        <w:numPr>
          <w:ilvl w:val="0"/>
          <w:numId w:val="5"/>
        </w:numPr>
        <w:rPr>
          <w:rFonts w:cs="Times New Roman"/>
          <w:b/>
          <w:i/>
        </w:rPr>
      </w:pPr>
      <w:r w:rsidRPr="00436856">
        <w:rPr>
          <w:rFonts w:cs="Times New Roman"/>
          <w:b/>
          <w:i/>
        </w:rPr>
        <w:t>Análisis de espectroscopia infrarroja</w:t>
      </w:r>
    </w:p>
    <w:p w:rsidR="00E53790" w:rsidRPr="00E53790" w:rsidRDefault="009A75B3" w:rsidP="009A75B3">
      <w:pPr>
        <w:tabs>
          <w:tab w:val="left" w:pos="6610"/>
        </w:tabs>
        <w:ind w:firstLine="0"/>
        <w:rPr>
          <w:rFonts w:cs="Times New Roman"/>
          <w:szCs w:val="20"/>
        </w:rPr>
      </w:pPr>
      <w:r>
        <w:rPr>
          <w:rFonts w:cs="Times New Roman"/>
          <w:szCs w:val="20"/>
        </w:rPr>
        <w:lastRenderedPageBreak/>
        <w:t xml:space="preserve">     </w:t>
      </w:r>
      <w:r w:rsidR="00E53790" w:rsidRPr="00E53790">
        <w:rPr>
          <w:rFonts w:cs="Times New Roman"/>
          <w:szCs w:val="20"/>
        </w:rPr>
        <w:t xml:space="preserve">Se tomó una muestra de 0.0018 gramos de cáscara de yuca y se mezcló hasta homogenizar con 0.036 gramos de </w:t>
      </w:r>
      <w:proofErr w:type="spellStart"/>
      <w:r w:rsidR="00E53790" w:rsidRPr="00E53790">
        <w:rPr>
          <w:rFonts w:cs="Times New Roman"/>
          <w:szCs w:val="20"/>
        </w:rPr>
        <w:t>KBr</w:t>
      </w:r>
      <w:proofErr w:type="spellEnd"/>
      <w:r w:rsidR="00E53790" w:rsidRPr="00E53790">
        <w:rPr>
          <w:rFonts w:cs="Times New Roman"/>
          <w:szCs w:val="20"/>
        </w:rPr>
        <w:t xml:space="preserve">. posteriormente se creó una película a partir de esta mezcla y luego se analizó en un Espectrofotómetro de luz infrarroja de transformada de Fourier (FT-IR </w:t>
      </w:r>
      <w:proofErr w:type="spellStart"/>
      <w:r w:rsidR="00E53790" w:rsidRPr="00E53790">
        <w:rPr>
          <w:rFonts w:cs="Times New Roman"/>
          <w:szCs w:val="20"/>
        </w:rPr>
        <w:t>Shimadzu</w:t>
      </w:r>
      <w:proofErr w:type="spellEnd"/>
      <w:r w:rsidR="00E53790" w:rsidRPr="00E53790">
        <w:rPr>
          <w:rFonts w:cs="Times New Roman"/>
          <w:szCs w:val="20"/>
        </w:rPr>
        <w:t xml:space="preserve"> IR Affinity-1). La temperatura a la que se realizó el análisis fue de 21°C. El rango de frecuencia de análisis estuvo comprendido entre 400 y 4000 cm</w:t>
      </w:r>
      <w:r w:rsidR="00E53790" w:rsidRPr="00E53790">
        <w:rPr>
          <w:rFonts w:cs="Times New Roman"/>
          <w:szCs w:val="20"/>
          <w:vertAlign w:val="superscript"/>
        </w:rPr>
        <w:t>-1</w:t>
      </w:r>
      <w:r w:rsidR="00E53790" w:rsidRPr="00E53790">
        <w:rPr>
          <w:rFonts w:cs="Times New Roman"/>
          <w:szCs w:val="20"/>
        </w:rPr>
        <w:t>.</w:t>
      </w:r>
    </w:p>
    <w:p w:rsidR="00E53790" w:rsidRPr="00436856" w:rsidRDefault="00E53790" w:rsidP="00436856">
      <w:pPr>
        <w:pStyle w:val="Prrafodelista"/>
        <w:numPr>
          <w:ilvl w:val="0"/>
          <w:numId w:val="5"/>
        </w:numPr>
        <w:rPr>
          <w:rFonts w:cs="Times New Roman"/>
          <w:b/>
          <w:i/>
        </w:rPr>
      </w:pPr>
      <w:r w:rsidRPr="00436856">
        <w:rPr>
          <w:rFonts w:cs="Times New Roman"/>
          <w:b/>
          <w:i/>
        </w:rPr>
        <w:t>Modelos del comportamiento dinámico</w:t>
      </w:r>
    </w:p>
    <w:p w:rsidR="00E53790" w:rsidRDefault="009A75B3" w:rsidP="009A75B3">
      <w:pPr>
        <w:tabs>
          <w:tab w:val="left" w:pos="6610"/>
        </w:tabs>
        <w:ind w:firstLine="0"/>
        <w:rPr>
          <w:rFonts w:cs="Times New Roman"/>
          <w:szCs w:val="20"/>
        </w:rPr>
      </w:pPr>
      <w:r>
        <w:rPr>
          <w:rFonts w:cs="Times New Roman"/>
          <w:szCs w:val="20"/>
        </w:rPr>
        <w:t xml:space="preserve">     </w:t>
      </w:r>
      <w:r w:rsidR="00E53790" w:rsidRPr="00E53790">
        <w:rPr>
          <w:rFonts w:cs="Times New Roman"/>
          <w:szCs w:val="20"/>
        </w:rPr>
        <w:t>La curva que resulta de graficar la relación de la concentración del efluente con la concentración del caudal de alimentación se conoce como curva de ruptura. El tiempo y la forma de la curva son fundamentales para analizar el comportamiento de la columna de lecho fijo determinando la cantidad de metal que puede retener el lecho, la cual se expresa usualmente como el cociente de la concentración final y la inicial en función del tiempo de contacto, la altura del lecho y el flujo. Los parámetros de la columna de lecho fijo se obtienen a partir de las ecuaciones (2) a (8).</w:t>
      </w:r>
    </w:p>
    <w:p w:rsidR="005C00D8" w:rsidRPr="005C00D8" w:rsidRDefault="00B263E8" w:rsidP="00587556">
      <w:pPr>
        <w:tabs>
          <w:tab w:val="left" w:pos="6610"/>
        </w:tabs>
        <w:jc w:val="right"/>
        <w:rPr>
          <w:rFonts w:cs="Times New Roman"/>
          <w:szCs w:val="20"/>
        </w:rPr>
      </w:pPr>
      <m:oMath>
        <m:sSub>
          <m:sSubPr>
            <m:ctrlPr>
              <w:rPr>
                <w:rFonts w:ascii="Cambria Math" w:hAnsi="Cambria Math" w:cs="Times New Roman"/>
                <w:i/>
                <w:szCs w:val="20"/>
                <w:lang w:val="en-US"/>
              </w:rPr>
            </m:ctrlPr>
          </m:sSubPr>
          <m:e>
            <m:r>
              <w:rPr>
                <w:rFonts w:ascii="Cambria Math" w:hAnsi="Cambria Math" w:cs="Times New Roman"/>
                <w:szCs w:val="20"/>
                <w:lang w:val="en-US"/>
              </w:rPr>
              <m:t>V</m:t>
            </m:r>
          </m:e>
          <m:sub>
            <m:r>
              <w:rPr>
                <w:rFonts w:ascii="Cambria Math" w:hAnsi="Cambria Math" w:cs="Times New Roman"/>
                <w:szCs w:val="20"/>
                <w:lang w:val="en-US"/>
              </w:rPr>
              <m:t>ef</m:t>
            </m:r>
          </m:sub>
        </m:sSub>
        <m:r>
          <w:rPr>
            <w:rFonts w:ascii="Cambria Math" w:hAnsi="Cambria Math" w:cs="Times New Roman"/>
            <w:szCs w:val="20"/>
          </w:rPr>
          <m:t>=</m:t>
        </m:r>
        <m:r>
          <w:rPr>
            <w:rFonts w:ascii="Cambria Math" w:hAnsi="Cambria Math" w:cs="Times New Roman"/>
            <w:szCs w:val="20"/>
            <w:lang w:val="en-US"/>
          </w:rPr>
          <m:t>Q</m:t>
        </m:r>
        <m:r>
          <w:rPr>
            <w:rFonts w:ascii="Cambria Math" w:hAnsi="Cambria Math" w:cs="Times New Roman"/>
            <w:szCs w:val="20"/>
          </w:rPr>
          <m:t>*</m:t>
        </m:r>
        <m:sSub>
          <m:sSubPr>
            <m:ctrlPr>
              <w:rPr>
                <w:rFonts w:ascii="Cambria Math" w:hAnsi="Cambria Math" w:cs="Times New Roman"/>
                <w:i/>
                <w:szCs w:val="20"/>
                <w:lang w:val="en-US"/>
              </w:rPr>
            </m:ctrlPr>
          </m:sSubPr>
          <m:e>
            <m:r>
              <w:rPr>
                <w:rFonts w:ascii="Cambria Math" w:hAnsi="Cambria Math" w:cs="Times New Roman"/>
                <w:szCs w:val="20"/>
                <w:lang w:val="en-US"/>
              </w:rPr>
              <m:t>t</m:t>
            </m:r>
          </m:e>
          <m:sub>
            <m:r>
              <w:rPr>
                <w:rFonts w:ascii="Cambria Math" w:hAnsi="Cambria Math" w:cs="Times New Roman"/>
                <w:szCs w:val="20"/>
                <w:lang w:val="en-US"/>
              </w:rPr>
              <m:t>total</m:t>
            </m:r>
          </m:sub>
        </m:sSub>
      </m:oMath>
      <w:r w:rsidR="005C00D8" w:rsidRPr="005C00D8">
        <w:rPr>
          <w:rFonts w:cs="Times New Roman"/>
          <w:szCs w:val="20"/>
        </w:rPr>
        <w:t xml:space="preserve">                             </w:t>
      </w:r>
      <w:r w:rsidR="005C00D8">
        <w:rPr>
          <w:rFonts w:cs="Times New Roman"/>
          <w:szCs w:val="20"/>
        </w:rPr>
        <w:t xml:space="preserve">     </w:t>
      </w:r>
      <w:r w:rsidR="005C00D8" w:rsidRPr="005C00D8">
        <w:rPr>
          <w:rFonts w:cs="Times New Roman"/>
          <w:szCs w:val="20"/>
        </w:rPr>
        <w:t xml:space="preserve">   (2)                                                                                         </w:t>
      </w:r>
    </w:p>
    <w:p w:rsidR="005C00D8" w:rsidRPr="005C00D8" w:rsidRDefault="009A75B3" w:rsidP="009A75B3">
      <w:pPr>
        <w:tabs>
          <w:tab w:val="left" w:pos="6610"/>
        </w:tabs>
        <w:ind w:firstLine="0"/>
        <w:rPr>
          <w:rFonts w:cs="Times New Roman"/>
          <w:szCs w:val="20"/>
        </w:rPr>
      </w:pPr>
      <w:r>
        <w:rPr>
          <w:rFonts w:cs="Times New Roman"/>
          <w:szCs w:val="20"/>
        </w:rPr>
        <w:t xml:space="preserve">     </w:t>
      </w:r>
      <w:r w:rsidR="005C00D8" w:rsidRPr="005C00D8">
        <w:rPr>
          <w:rFonts w:cs="Times New Roman"/>
          <w:szCs w:val="20"/>
        </w:rPr>
        <w:t xml:space="preserve">Donde, </w:t>
      </w:r>
      <w:proofErr w:type="spellStart"/>
      <w:r w:rsidR="005C00D8" w:rsidRPr="005C00D8">
        <w:rPr>
          <w:rFonts w:cs="Times New Roman"/>
          <w:szCs w:val="20"/>
        </w:rPr>
        <w:t>V</w:t>
      </w:r>
      <w:r w:rsidR="005C00D8" w:rsidRPr="005C00D8">
        <w:rPr>
          <w:rFonts w:cs="Times New Roman"/>
          <w:szCs w:val="20"/>
          <w:vertAlign w:val="subscript"/>
        </w:rPr>
        <w:t>ef</w:t>
      </w:r>
      <w:proofErr w:type="spellEnd"/>
      <w:r w:rsidR="005C00D8" w:rsidRPr="005C00D8">
        <w:rPr>
          <w:rFonts w:cs="Times New Roman"/>
          <w:szCs w:val="20"/>
        </w:rPr>
        <w:t xml:space="preserve"> es el volumen del efluente (ml), </w:t>
      </w:r>
      <w:proofErr w:type="spellStart"/>
      <w:r w:rsidR="005C00D8" w:rsidRPr="005C00D8">
        <w:rPr>
          <w:rFonts w:cs="Times New Roman"/>
          <w:szCs w:val="20"/>
        </w:rPr>
        <w:t>t</w:t>
      </w:r>
      <w:r w:rsidR="005C00D8" w:rsidRPr="005C00D8">
        <w:rPr>
          <w:rFonts w:cs="Times New Roman"/>
          <w:szCs w:val="20"/>
          <w:vertAlign w:val="subscript"/>
        </w:rPr>
        <w:t>total</w:t>
      </w:r>
      <w:proofErr w:type="spellEnd"/>
      <w:r w:rsidR="005C00D8" w:rsidRPr="005C00D8">
        <w:rPr>
          <w:rFonts w:cs="Times New Roman"/>
          <w:szCs w:val="20"/>
        </w:rPr>
        <w:t xml:space="preserve"> es el tiempo total de operación (min) y Q es el caudal que circula por la columna (ml/min).</w:t>
      </w:r>
    </w:p>
    <w:p w:rsidR="005C00D8" w:rsidRPr="005C00D8" w:rsidRDefault="005C00D8" w:rsidP="005C00D8">
      <w:pPr>
        <w:tabs>
          <w:tab w:val="left" w:pos="6610"/>
        </w:tabs>
        <w:rPr>
          <w:rFonts w:cs="Times New Roman"/>
          <w:szCs w:val="20"/>
        </w:rPr>
      </w:pPr>
    </w:p>
    <w:p w:rsidR="005C00D8" w:rsidRPr="005C00D8" w:rsidRDefault="00B263E8" w:rsidP="00587556">
      <w:pPr>
        <w:tabs>
          <w:tab w:val="left" w:pos="6610"/>
        </w:tabs>
        <w:jc w:val="right"/>
        <w:rPr>
          <w:rFonts w:cs="Times New Roman"/>
          <w:szCs w:val="20"/>
        </w:rPr>
      </w:pPr>
      <m:oMath>
        <m:sSub>
          <m:sSubPr>
            <m:ctrlPr>
              <w:rPr>
                <w:rFonts w:ascii="Cambria Math" w:hAnsi="Cambria Math" w:cs="Times New Roman"/>
                <w:i/>
                <w:szCs w:val="20"/>
                <w:lang w:val="en-US"/>
              </w:rPr>
            </m:ctrlPr>
          </m:sSubPr>
          <m:e>
            <m:r>
              <w:rPr>
                <w:rFonts w:ascii="Cambria Math" w:hAnsi="Cambria Math" w:cs="Times New Roman"/>
                <w:szCs w:val="20"/>
                <w:lang w:val="en-US"/>
              </w:rPr>
              <m:t>q</m:t>
            </m:r>
          </m:e>
          <m:sub>
            <m:r>
              <w:rPr>
                <w:rFonts w:ascii="Cambria Math" w:hAnsi="Cambria Math" w:cs="Times New Roman"/>
                <w:szCs w:val="20"/>
                <w:lang w:val="en-US"/>
              </w:rPr>
              <m:t>total</m:t>
            </m:r>
          </m:sub>
        </m:sSub>
        <m:r>
          <w:rPr>
            <w:rFonts w:ascii="Cambria Math" w:hAnsi="Cambria Math" w:cs="Times New Roman"/>
            <w:szCs w:val="20"/>
          </w:rPr>
          <m:t>=</m:t>
        </m:r>
        <m:f>
          <m:fPr>
            <m:ctrlPr>
              <w:rPr>
                <w:rFonts w:ascii="Cambria Math" w:hAnsi="Cambria Math" w:cs="Times New Roman"/>
                <w:i/>
                <w:szCs w:val="20"/>
                <w:lang w:val="en-US"/>
              </w:rPr>
            </m:ctrlPr>
          </m:fPr>
          <m:num>
            <m:r>
              <w:rPr>
                <w:rFonts w:ascii="Cambria Math" w:hAnsi="Cambria Math" w:cs="Times New Roman"/>
                <w:szCs w:val="20"/>
                <w:lang w:val="en-US"/>
              </w:rPr>
              <m:t>Q</m:t>
            </m:r>
          </m:num>
          <m:den>
            <m:r>
              <w:rPr>
                <w:rFonts w:ascii="Cambria Math" w:hAnsi="Cambria Math" w:cs="Times New Roman"/>
                <w:szCs w:val="20"/>
              </w:rPr>
              <m:t>1000</m:t>
            </m:r>
          </m:den>
        </m:f>
        <m:nary>
          <m:naryPr>
            <m:limLoc m:val="subSup"/>
            <m:ctrlPr>
              <w:rPr>
                <w:rFonts w:ascii="Cambria Math" w:hAnsi="Cambria Math" w:cs="Times New Roman"/>
                <w:i/>
                <w:szCs w:val="20"/>
                <w:lang w:val="en-US"/>
              </w:rPr>
            </m:ctrlPr>
          </m:naryPr>
          <m:sub>
            <m:r>
              <w:rPr>
                <w:rFonts w:ascii="Cambria Math" w:hAnsi="Cambria Math" w:cs="Times New Roman"/>
                <w:szCs w:val="20"/>
                <w:lang w:val="en-US"/>
              </w:rPr>
              <m:t>t</m:t>
            </m:r>
            <m:r>
              <w:rPr>
                <w:rFonts w:ascii="Cambria Math" w:hAnsi="Cambria Math" w:cs="Times New Roman"/>
                <w:szCs w:val="20"/>
              </w:rPr>
              <m:t>=0</m:t>
            </m:r>
          </m:sub>
          <m:sup>
            <m:sSub>
              <m:sSubPr>
                <m:ctrlPr>
                  <w:rPr>
                    <w:rFonts w:ascii="Cambria Math" w:hAnsi="Cambria Math" w:cs="Times New Roman"/>
                    <w:i/>
                    <w:szCs w:val="20"/>
                    <w:lang w:val="en-US"/>
                  </w:rPr>
                </m:ctrlPr>
              </m:sSubPr>
              <m:e>
                <m:r>
                  <w:rPr>
                    <w:rFonts w:ascii="Cambria Math" w:hAnsi="Cambria Math" w:cs="Times New Roman"/>
                    <w:szCs w:val="20"/>
                    <w:lang w:val="en-US"/>
                  </w:rPr>
                  <m:t>t</m:t>
                </m:r>
              </m:e>
              <m:sub>
                <m:r>
                  <w:rPr>
                    <w:rFonts w:ascii="Cambria Math" w:hAnsi="Cambria Math" w:cs="Times New Roman"/>
                    <w:szCs w:val="20"/>
                    <w:lang w:val="en-US"/>
                  </w:rPr>
                  <m:t>total</m:t>
                </m:r>
              </m:sub>
            </m:sSub>
          </m:sup>
          <m:e>
            <m:sSub>
              <m:sSubPr>
                <m:ctrlPr>
                  <w:rPr>
                    <w:rFonts w:ascii="Cambria Math" w:hAnsi="Cambria Math" w:cs="Times New Roman"/>
                    <w:i/>
                    <w:szCs w:val="20"/>
                    <w:lang w:val="en-US"/>
                  </w:rPr>
                </m:ctrlPr>
              </m:sSubPr>
              <m:e>
                <m:r>
                  <w:rPr>
                    <w:rFonts w:ascii="Cambria Math" w:hAnsi="Cambria Math" w:cs="Times New Roman"/>
                    <w:szCs w:val="20"/>
                    <w:lang w:val="en-US"/>
                  </w:rPr>
                  <m:t>C</m:t>
                </m:r>
              </m:e>
              <m:sub>
                <m:r>
                  <w:rPr>
                    <w:rFonts w:ascii="Cambria Math" w:hAnsi="Cambria Math" w:cs="Times New Roman"/>
                    <w:szCs w:val="20"/>
                    <w:lang w:val="en-US"/>
                  </w:rPr>
                  <m:t>R</m:t>
                </m:r>
              </m:sub>
            </m:sSub>
            <m:r>
              <w:rPr>
                <w:rFonts w:ascii="Cambria Math" w:hAnsi="Cambria Math" w:cs="Times New Roman"/>
                <w:szCs w:val="20"/>
              </w:rPr>
              <m:t>*</m:t>
            </m:r>
            <m:r>
              <w:rPr>
                <w:rFonts w:ascii="Cambria Math" w:hAnsi="Cambria Math" w:cs="Times New Roman"/>
                <w:szCs w:val="20"/>
                <w:lang w:val="en-US"/>
              </w:rPr>
              <m:t>dt</m:t>
            </m:r>
          </m:e>
        </m:nary>
      </m:oMath>
      <w:r w:rsidR="005C00D8" w:rsidRPr="005C00D8">
        <w:rPr>
          <w:rFonts w:cs="Times New Roman"/>
          <w:szCs w:val="20"/>
        </w:rPr>
        <w:t xml:space="preserve">                      (3)  </w:t>
      </w:r>
    </w:p>
    <w:p w:rsidR="005C00D8" w:rsidRPr="005C00D8" w:rsidRDefault="00136F57" w:rsidP="00136F57">
      <w:pPr>
        <w:tabs>
          <w:tab w:val="left" w:pos="6610"/>
        </w:tabs>
        <w:ind w:firstLine="0"/>
        <w:rPr>
          <w:rFonts w:cs="Times New Roman"/>
          <w:szCs w:val="20"/>
        </w:rPr>
      </w:pPr>
      <w:r>
        <w:rPr>
          <w:rFonts w:cs="Times New Roman"/>
          <w:szCs w:val="20"/>
        </w:rPr>
        <w:t xml:space="preserve">     </w:t>
      </w:r>
      <w:r w:rsidR="005C00D8" w:rsidRPr="005C00D8">
        <w:rPr>
          <w:rFonts w:cs="Times New Roman"/>
          <w:szCs w:val="20"/>
        </w:rPr>
        <w:t>Donde C</w:t>
      </w:r>
      <w:r w:rsidR="005C00D8" w:rsidRPr="005C00D8">
        <w:rPr>
          <w:rFonts w:cs="Times New Roman"/>
          <w:szCs w:val="20"/>
          <w:vertAlign w:val="subscript"/>
        </w:rPr>
        <w:t>R</w:t>
      </w:r>
      <w:r w:rsidR="005C00D8" w:rsidRPr="005C00D8">
        <w:rPr>
          <w:rFonts w:cs="Times New Roman"/>
          <w:szCs w:val="20"/>
        </w:rPr>
        <w:t xml:space="preserve"> es la concentración de metal retenido (mg/L).</w:t>
      </w:r>
    </w:p>
    <w:p w:rsidR="005C00D8" w:rsidRPr="005C00D8" w:rsidRDefault="005C00D8" w:rsidP="00587556">
      <w:pPr>
        <w:tabs>
          <w:tab w:val="left" w:pos="6610"/>
        </w:tabs>
        <w:jc w:val="right"/>
        <w:rPr>
          <w:rFonts w:cs="Times New Roman"/>
          <w:szCs w:val="20"/>
        </w:rPr>
      </w:pPr>
      <m:oMath>
        <m:r>
          <w:rPr>
            <w:rFonts w:ascii="Cambria Math" w:hAnsi="Cambria Math" w:cs="Times New Roman"/>
            <w:szCs w:val="20"/>
          </w:rPr>
          <m:t>%</m:t>
        </m:r>
        <m:r>
          <w:rPr>
            <w:rFonts w:ascii="Cambria Math" w:hAnsi="Cambria Math" w:cs="Times New Roman"/>
            <w:szCs w:val="20"/>
            <w:lang w:val="en-US"/>
          </w:rPr>
          <m:t>R</m:t>
        </m:r>
        <m:r>
          <w:rPr>
            <w:rFonts w:ascii="Cambria Math" w:hAnsi="Cambria Math" w:cs="Times New Roman"/>
            <w:szCs w:val="20"/>
          </w:rPr>
          <m:t>=</m:t>
        </m:r>
        <m:f>
          <m:fPr>
            <m:ctrlPr>
              <w:rPr>
                <w:rFonts w:ascii="Cambria Math" w:hAnsi="Cambria Math" w:cs="Times New Roman"/>
                <w:i/>
                <w:szCs w:val="20"/>
                <w:lang w:val="en-US"/>
              </w:rPr>
            </m:ctrlPr>
          </m:fPr>
          <m:num>
            <m:sSub>
              <m:sSubPr>
                <m:ctrlPr>
                  <w:rPr>
                    <w:rFonts w:ascii="Cambria Math" w:hAnsi="Cambria Math" w:cs="Times New Roman"/>
                    <w:i/>
                    <w:szCs w:val="20"/>
                    <w:lang w:val="en-US"/>
                  </w:rPr>
                </m:ctrlPr>
              </m:sSubPr>
              <m:e>
                <m:r>
                  <w:rPr>
                    <w:rFonts w:ascii="Cambria Math" w:hAnsi="Cambria Math" w:cs="Times New Roman"/>
                    <w:szCs w:val="20"/>
                    <w:lang w:val="en-US"/>
                  </w:rPr>
                  <m:t>q</m:t>
                </m:r>
              </m:e>
              <m:sub>
                <m:r>
                  <w:rPr>
                    <w:rFonts w:ascii="Cambria Math" w:hAnsi="Cambria Math" w:cs="Times New Roman"/>
                    <w:szCs w:val="20"/>
                    <w:lang w:val="en-US"/>
                  </w:rPr>
                  <m:t>total</m:t>
                </m:r>
              </m:sub>
            </m:sSub>
          </m:num>
          <m:den>
            <m:sSub>
              <m:sSubPr>
                <m:ctrlPr>
                  <w:rPr>
                    <w:rFonts w:ascii="Cambria Math" w:hAnsi="Cambria Math" w:cs="Times New Roman"/>
                    <w:i/>
                    <w:szCs w:val="20"/>
                    <w:lang w:val="en-US"/>
                  </w:rPr>
                </m:ctrlPr>
              </m:sSubPr>
              <m:e>
                <m:r>
                  <w:rPr>
                    <w:rFonts w:ascii="Cambria Math" w:hAnsi="Cambria Math" w:cs="Times New Roman"/>
                    <w:szCs w:val="20"/>
                    <w:lang w:val="en-US"/>
                  </w:rPr>
                  <m:t>m</m:t>
                </m:r>
              </m:e>
              <m:sub>
                <m:r>
                  <w:rPr>
                    <w:rFonts w:ascii="Cambria Math" w:hAnsi="Cambria Math" w:cs="Times New Roman"/>
                    <w:szCs w:val="20"/>
                    <w:lang w:val="en-US"/>
                  </w:rPr>
                  <m:t>total</m:t>
                </m:r>
              </m:sub>
            </m:sSub>
          </m:den>
        </m:f>
        <m:r>
          <w:rPr>
            <w:rFonts w:ascii="Cambria Math" w:hAnsi="Cambria Math" w:cs="Times New Roman"/>
            <w:szCs w:val="20"/>
          </w:rPr>
          <m:t>*100</m:t>
        </m:r>
      </m:oMath>
      <w:r w:rsidRPr="005C00D8">
        <w:rPr>
          <w:rFonts w:cs="Times New Roman"/>
          <w:szCs w:val="20"/>
        </w:rPr>
        <w:t xml:space="preserve">                            (4)</w:t>
      </w:r>
    </w:p>
    <w:p w:rsidR="005C00D8" w:rsidRPr="005C00D8" w:rsidRDefault="005C00D8" w:rsidP="00587556">
      <w:pPr>
        <w:tabs>
          <w:tab w:val="left" w:pos="6610"/>
        </w:tabs>
        <w:jc w:val="right"/>
        <w:rPr>
          <w:rFonts w:cs="Times New Roman"/>
          <w:szCs w:val="20"/>
        </w:rPr>
      </w:pPr>
    </w:p>
    <w:p w:rsidR="005C00D8" w:rsidRPr="005C00D8" w:rsidRDefault="00B263E8" w:rsidP="00587556">
      <w:pPr>
        <w:tabs>
          <w:tab w:val="left" w:pos="6610"/>
        </w:tabs>
        <w:jc w:val="right"/>
        <w:rPr>
          <w:rFonts w:cs="Times New Roman"/>
          <w:szCs w:val="20"/>
        </w:rPr>
      </w:pPr>
      <m:oMath>
        <m:sSub>
          <m:sSubPr>
            <m:ctrlPr>
              <w:rPr>
                <w:rFonts w:ascii="Cambria Math" w:hAnsi="Cambria Math" w:cs="Times New Roman"/>
                <w:i/>
                <w:szCs w:val="20"/>
                <w:lang w:val="en-US"/>
              </w:rPr>
            </m:ctrlPr>
          </m:sSubPr>
          <m:e>
            <m:r>
              <w:rPr>
                <w:rFonts w:ascii="Cambria Math" w:hAnsi="Cambria Math" w:cs="Times New Roman"/>
                <w:szCs w:val="20"/>
                <w:lang w:val="en-US"/>
              </w:rPr>
              <m:t>q</m:t>
            </m:r>
          </m:e>
          <m:sub>
            <m:r>
              <w:rPr>
                <w:rFonts w:ascii="Cambria Math" w:hAnsi="Cambria Math" w:cs="Times New Roman"/>
                <w:szCs w:val="20"/>
                <w:lang w:val="en-US"/>
              </w:rPr>
              <m:t>e</m:t>
            </m:r>
          </m:sub>
        </m:sSub>
        <m:r>
          <w:rPr>
            <w:rFonts w:ascii="Cambria Math" w:hAnsi="Cambria Math" w:cs="Times New Roman"/>
            <w:szCs w:val="20"/>
          </w:rPr>
          <m:t xml:space="preserve">= </m:t>
        </m:r>
        <m:f>
          <m:fPr>
            <m:ctrlPr>
              <w:rPr>
                <w:rFonts w:ascii="Cambria Math" w:hAnsi="Cambria Math" w:cs="Times New Roman"/>
                <w:i/>
                <w:szCs w:val="20"/>
                <w:lang w:val="en-US"/>
              </w:rPr>
            </m:ctrlPr>
          </m:fPr>
          <m:num>
            <m:sSub>
              <m:sSubPr>
                <m:ctrlPr>
                  <w:rPr>
                    <w:rFonts w:ascii="Cambria Math" w:hAnsi="Cambria Math" w:cs="Times New Roman"/>
                    <w:i/>
                    <w:szCs w:val="20"/>
                    <w:lang w:val="en-US"/>
                  </w:rPr>
                </m:ctrlPr>
              </m:sSubPr>
              <m:e>
                <m:r>
                  <w:rPr>
                    <w:rFonts w:ascii="Cambria Math" w:hAnsi="Cambria Math" w:cs="Times New Roman"/>
                    <w:szCs w:val="20"/>
                    <w:lang w:val="en-US"/>
                  </w:rPr>
                  <m:t>q</m:t>
                </m:r>
              </m:e>
              <m:sub>
                <m:r>
                  <w:rPr>
                    <w:rFonts w:ascii="Cambria Math" w:hAnsi="Cambria Math" w:cs="Times New Roman"/>
                    <w:szCs w:val="20"/>
                    <w:lang w:val="en-US"/>
                  </w:rPr>
                  <m:t>total</m:t>
                </m:r>
              </m:sub>
            </m:sSub>
          </m:num>
          <m:den>
            <m:r>
              <w:rPr>
                <w:rFonts w:ascii="Cambria Math" w:hAnsi="Cambria Math" w:cs="Times New Roman"/>
                <w:szCs w:val="20"/>
                <w:lang w:val="en-US"/>
              </w:rPr>
              <m:t>W</m:t>
            </m:r>
          </m:den>
        </m:f>
      </m:oMath>
      <w:r w:rsidR="005C00D8" w:rsidRPr="005C00D8">
        <w:rPr>
          <w:rFonts w:cs="Times New Roman"/>
          <w:szCs w:val="20"/>
        </w:rPr>
        <w:t xml:space="preserve">                                  (5)</w:t>
      </w:r>
    </w:p>
    <w:p w:rsidR="005C00D8" w:rsidRPr="005C00D8" w:rsidRDefault="00136F57" w:rsidP="00136F57">
      <w:pPr>
        <w:tabs>
          <w:tab w:val="left" w:pos="6610"/>
        </w:tabs>
        <w:ind w:firstLine="0"/>
        <w:rPr>
          <w:rFonts w:cs="Times New Roman"/>
          <w:szCs w:val="20"/>
        </w:rPr>
      </w:pPr>
      <w:r>
        <w:rPr>
          <w:rFonts w:cs="Times New Roman"/>
          <w:szCs w:val="20"/>
        </w:rPr>
        <w:t xml:space="preserve">     </w:t>
      </w:r>
      <w:proofErr w:type="spellStart"/>
      <w:r w:rsidR="005C00D8" w:rsidRPr="005C00D8">
        <w:rPr>
          <w:rFonts w:cs="Times New Roman"/>
          <w:szCs w:val="20"/>
        </w:rPr>
        <w:t>q</w:t>
      </w:r>
      <w:r w:rsidR="005C00D8" w:rsidRPr="005C00D8">
        <w:rPr>
          <w:rFonts w:cs="Times New Roman"/>
          <w:szCs w:val="20"/>
          <w:vertAlign w:val="subscript"/>
        </w:rPr>
        <w:t>e</w:t>
      </w:r>
      <w:proofErr w:type="spellEnd"/>
      <w:r w:rsidR="005C00D8" w:rsidRPr="005C00D8">
        <w:rPr>
          <w:rFonts w:cs="Times New Roman"/>
          <w:szCs w:val="20"/>
        </w:rPr>
        <w:t xml:space="preserve"> es la capacidad de adsorción (mg de metal adsorbido/g de biosorbente).</w:t>
      </w:r>
    </w:p>
    <w:p w:rsidR="005C00D8" w:rsidRPr="005C00D8" w:rsidRDefault="00B263E8" w:rsidP="00587556">
      <w:pPr>
        <w:tabs>
          <w:tab w:val="left" w:pos="6610"/>
        </w:tabs>
        <w:jc w:val="right"/>
        <w:rPr>
          <w:rFonts w:cs="Times New Roman"/>
          <w:szCs w:val="20"/>
        </w:rPr>
      </w:pPr>
      <m:oMath>
        <m:sSub>
          <m:sSubPr>
            <m:ctrlPr>
              <w:rPr>
                <w:rFonts w:ascii="Cambria Math" w:hAnsi="Cambria Math" w:cs="Times New Roman"/>
                <w:i/>
                <w:szCs w:val="20"/>
                <w:lang w:val="en-US"/>
              </w:rPr>
            </m:ctrlPr>
          </m:sSubPr>
          <m:e>
            <m:r>
              <w:rPr>
                <w:rFonts w:ascii="Cambria Math" w:hAnsi="Cambria Math" w:cs="Times New Roman"/>
                <w:szCs w:val="20"/>
                <w:lang w:val="en-US"/>
              </w:rPr>
              <m:t>C</m:t>
            </m:r>
          </m:e>
          <m:sub>
            <m:r>
              <w:rPr>
                <w:rFonts w:ascii="Cambria Math" w:hAnsi="Cambria Math" w:cs="Times New Roman"/>
                <w:szCs w:val="20"/>
                <w:lang w:val="en-US"/>
              </w:rPr>
              <m:t>e</m:t>
            </m:r>
          </m:sub>
        </m:sSub>
        <m:r>
          <w:rPr>
            <w:rFonts w:ascii="Cambria Math" w:hAnsi="Cambria Math" w:cs="Times New Roman"/>
            <w:szCs w:val="20"/>
          </w:rPr>
          <m:t>=</m:t>
        </m:r>
        <m:f>
          <m:fPr>
            <m:ctrlPr>
              <w:rPr>
                <w:rFonts w:ascii="Cambria Math" w:hAnsi="Cambria Math" w:cs="Times New Roman"/>
                <w:i/>
                <w:szCs w:val="20"/>
                <w:lang w:val="en-US"/>
              </w:rPr>
            </m:ctrlPr>
          </m:fPr>
          <m:num>
            <m:sSub>
              <m:sSubPr>
                <m:ctrlPr>
                  <w:rPr>
                    <w:rFonts w:ascii="Cambria Math" w:hAnsi="Cambria Math" w:cs="Times New Roman"/>
                    <w:i/>
                    <w:szCs w:val="20"/>
                    <w:lang w:val="en-US"/>
                  </w:rPr>
                </m:ctrlPr>
              </m:sSubPr>
              <m:e>
                <m:r>
                  <w:rPr>
                    <w:rFonts w:ascii="Cambria Math" w:hAnsi="Cambria Math" w:cs="Times New Roman"/>
                    <w:szCs w:val="20"/>
                    <w:lang w:val="en-US"/>
                  </w:rPr>
                  <m:t>m</m:t>
                </m:r>
              </m:e>
              <m:sub>
                <m:r>
                  <w:rPr>
                    <w:rFonts w:ascii="Cambria Math" w:hAnsi="Cambria Math" w:cs="Times New Roman"/>
                    <w:szCs w:val="20"/>
                    <w:lang w:val="en-US"/>
                  </w:rPr>
                  <m:t>total</m:t>
                </m:r>
              </m:sub>
            </m:sSub>
            <m:r>
              <w:rPr>
                <w:rFonts w:ascii="Cambria Math" w:hAnsi="Cambria Math" w:cs="Times New Roman"/>
                <w:szCs w:val="20"/>
              </w:rPr>
              <m:t>-</m:t>
            </m:r>
            <m:sSub>
              <m:sSubPr>
                <m:ctrlPr>
                  <w:rPr>
                    <w:rFonts w:ascii="Cambria Math" w:hAnsi="Cambria Math" w:cs="Times New Roman"/>
                    <w:i/>
                    <w:szCs w:val="20"/>
                    <w:lang w:val="en-US"/>
                  </w:rPr>
                </m:ctrlPr>
              </m:sSubPr>
              <m:e>
                <m:r>
                  <w:rPr>
                    <w:rFonts w:ascii="Cambria Math" w:hAnsi="Cambria Math" w:cs="Times New Roman"/>
                    <w:szCs w:val="20"/>
                    <w:lang w:val="en-US"/>
                  </w:rPr>
                  <m:t>q</m:t>
                </m:r>
              </m:e>
              <m:sub>
                <m:r>
                  <w:rPr>
                    <w:rFonts w:ascii="Cambria Math" w:hAnsi="Cambria Math" w:cs="Times New Roman"/>
                    <w:szCs w:val="20"/>
                    <w:lang w:val="en-US"/>
                  </w:rPr>
                  <m:t>total</m:t>
                </m:r>
              </m:sub>
            </m:sSub>
          </m:num>
          <m:den>
            <m:sSub>
              <m:sSubPr>
                <m:ctrlPr>
                  <w:rPr>
                    <w:rFonts w:ascii="Cambria Math" w:hAnsi="Cambria Math" w:cs="Times New Roman"/>
                    <w:i/>
                    <w:szCs w:val="20"/>
                    <w:lang w:val="en-US"/>
                  </w:rPr>
                </m:ctrlPr>
              </m:sSubPr>
              <m:e>
                <m:r>
                  <w:rPr>
                    <w:rFonts w:ascii="Cambria Math" w:hAnsi="Cambria Math" w:cs="Times New Roman"/>
                    <w:szCs w:val="20"/>
                    <w:lang w:val="en-US"/>
                  </w:rPr>
                  <m:t>V</m:t>
                </m:r>
              </m:e>
              <m:sub>
                <m:r>
                  <w:rPr>
                    <w:rFonts w:ascii="Cambria Math" w:hAnsi="Cambria Math" w:cs="Times New Roman"/>
                    <w:szCs w:val="20"/>
                    <w:lang w:val="en-US"/>
                  </w:rPr>
                  <m:t>ef</m:t>
                </m:r>
              </m:sub>
            </m:sSub>
          </m:den>
        </m:f>
        <m:r>
          <w:rPr>
            <w:rFonts w:ascii="Cambria Math" w:hAnsi="Cambria Math" w:cs="Times New Roman"/>
            <w:szCs w:val="20"/>
          </w:rPr>
          <m:t>*1000</m:t>
        </m:r>
      </m:oMath>
      <w:r w:rsidR="005C00D8" w:rsidRPr="005C00D8">
        <w:rPr>
          <w:rFonts w:cs="Times New Roman"/>
          <w:szCs w:val="20"/>
        </w:rPr>
        <w:t xml:space="preserve">                 (6)</w:t>
      </w:r>
    </w:p>
    <w:p w:rsidR="005C00D8" w:rsidRPr="005C00D8" w:rsidRDefault="00136F57" w:rsidP="00136F57">
      <w:pPr>
        <w:tabs>
          <w:tab w:val="left" w:pos="6610"/>
        </w:tabs>
        <w:ind w:firstLine="0"/>
        <w:rPr>
          <w:rFonts w:cs="Times New Roman"/>
          <w:szCs w:val="20"/>
        </w:rPr>
      </w:pPr>
      <w:r>
        <w:rPr>
          <w:rFonts w:cs="Times New Roman"/>
          <w:szCs w:val="20"/>
        </w:rPr>
        <w:t xml:space="preserve">     </w:t>
      </w:r>
      <w:r w:rsidR="005C00D8" w:rsidRPr="005C00D8">
        <w:rPr>
          <w:rFonts w:cs="Times New Roman"/>
          <w:szCs w:val="20"/>
        </w:rPr>
        <w:t>Donde C</w:t>
      </w:r>
      <w:r w:rsidR="005C00D8" w:rsidRPr="005C00D8">
        <w:rPr>
          <w:rFonts w:cs="Times New Roman"/>
          <w:szCs w:val="20"/>
          <w:vertAlign w:val="subscript"/>
        </w:rPr>
        <w:t>e</w:t>
      </w:r>
      <w:r w:rsidR="005C00D8" w:rsidRPr="005C00D8">
        <w:rPr>
          <w:rFonts w:cs="Times New Roman"/>
          <w:szCs w:val="20"/>
        </w:rPr>
        <w:t xml:space="preserve"> es la concentración de equilibrio del metal (mg/l).</w:t>
      </w:r>
    </w:p>
    <w:p w:rsidR="005C00D8" w:rsidRPr="005C00D8" w:rsidRDefault="00B263E8" w:rsidP="00587556">
      <w:pPr>
        <w:tabs>
          <w:tab w:val="left" w:pos="6610"/>
        </w:tabs>
        <w:jc w:val="right"/>
        <w:rPr>
          <w:rFonts w:cs="Times New Roman"/>
          <w:szCs w:val="20"/>
        </w:rPr>
      </w:pPr>
      <m:oMath>
        <m:sSub>
          <m:sSubPr>
            <m:ctrlPr>
              <w:rPr>
                <w:rFonts w:ascii="Cambria Math" w:hAnsi="Cambria Math" w:cs="Times New Roman"/>
                <w:i/>
                <w:szCs w:val="20"/>
                <w:lang w:val="en-US"/>
              </w:rPr>
            </m:ctrlPr>
          </m:sSubPr>
          <m:e>
            <m:r>
              <w:rPr>
                <w:rFonts w:ascii="Cambria Math" w:hAnsi="Cambria Math" w:cs="Times New Roman"/>
                <w:szCs w:val="20"/>
                <w:lang w:val="en-US"/>
              </w:rPr>
              <m:t>R</m:t>
            </m:r>
          </m:e>
          <m:sub>
            <m:r>
              <w:rPr>
                <w:rFonts w:ascii="Cambria Math" w:hAnsi="Cambria Math" w:cs="Times New Roman"/>
                <w:szCs w:val="20"/>
                <w:lang w:val="en-US"/>
              </w:rPr>
              <m:t>t</m:t>
            </m:r>
          </m:sub>
        </m:sSub>
        <m:r>
          <w:rPr>
            <w:rFonts w:ascii="Cambria Math" w:hAnsi="Cambria Math" w:cs="Times New Roman"/>
            <w:szCs w:val="20"/>
          </w:rPr>
          <m:t>=</m:t>
        </m:r>
        <m:f>
          <m:fPr>
            <m:ctrlPr>
              <w:rPr>
                <w:rFonts w:ascii="Cambria Math" w:hAnsi="Cambria Math" w:cs="Times New Roman"/>
                <w:i/>
                <w:szCs w:val="20"/>
                <w:lang w:val="en-US"/>
              </w:rPr>
            </m:ctrlPr>
          </m:fPr>
          <m:num>
            <m:sSub>
              <m:sSubPr>
                <m:ctrlPr>
                  <w:rPr>
                    <w:rFonts w:ascii="Cambria Math" w:hAnsi="Cambria Math" w:cs="Times New Roman"/>
                    <w:i/>
                    <w:szCs w:val="20"/>
                    <w:lang w:val="en-US"/>
                  </w:rPr>
                </m:ctrlPr>
              </m:sSubPr>
              <m:e>
                <m:r>
                  <w:rPr>
                    <w:rFonts w:ascii="Cambria Math" w:hAnsi="Cambria Math" w:cs="Times New Roman"/>
                    <w:szCs w:val="20"/>
                    <w:lang w:val="en-US"/>
                  </w:rPr>
                  <m:t>V</m:t>
                </m:r>
              </m:e>
              <m:sub>
                <m:r>
                  <w:rPr>
                    <w:rFonts w:ascii="Cambria Math" w:hAnsi="Cambria Math" w:cs="Times New Roman"/>
                    <w:szCs w:val="20"/>
                    <w:lang w:val="en-US"/>
                  </w:rPr>
                  <m:t>col</m:t>
                </m:r>
              </m:sub>
            </m:sSub>
            <m:r>
              <w:rPr>
                <w:rFonts w:ascii="Cambria Math" w:hAnsi="Cambria Math" w:cs="Times New Roman"/>
                <w:szCs w:val="20"/>
              </w:rPr>
              <m:t>*</m:t>
            </m:r>
            <m:r>
              <w:rPr>
                <w:rFonts w:ascii="Cambria Math" w:hAnsi="Cambria Math" w:cs="Times New Roman"/>
                <w:szCs w:val="20"/>
                <w:lang w:val="en-US"/>
              </w:rPr>
              <m:t>Porosidad</m:t>
            </m:r>
          </m:num>
          <m:den>
            <m:r>
              <w:rPr>
                <w:rFonts w:ascii="Cambria Math" w:hAnsi="Cambria Math" w:cs="Times New Roman"/>
                <w:szCs w:val="20"/>
                <w:lang w:val="en-US"/>
              </w:rPr>
              <m:t>Q</m:t>
            </m:r>
          </m:den>
        </m:f>
      </m:oMath>
      <w:r w:rsidR="005C00D8" w:rsidRPr="005C00D8">
        <w:rPr>
          <w:rFonts w:cs="Times New Roman"/>
          <w:szCs w:val="20"/>
        </w:rPr>
        <w:t xml:space="preserve">                           (7)</w:t>
      </w:r>
    </w:p>
    <w:p w:rsidR="00793B9C" w:rsidRDefault="00B263E8" w:rsidP="00793B9C">
      <w:pPr>
        <w:tabs>
          <w:tab w:val="left" w:pos="6610"/>
        </w:tabs>
        <w:jc w:val="right"/>
        <w:rPr>
          <w:rFonts w:cs="Times New Roman"/>
          <w:szCs w:val="20"/>
        </w:rPr>
      </w:pPr>
      <m:oMath>
        <m:sSub>
          <m:sSubPr>
            <m:ctrlPr>
              <w:rPr>
                <w:rFonts w:ascii="Cambria Math" w:hAnsi="Cambria Math" w:cs="Times New Roman"/>
                <w:i/>
                <w:szCs w:val="20"/>
                <w:lang w:val="en-US"/>
              </w:rPr>
            </m:ctrlPr>
          </m:sSubPr>
          <m:e>
            <m:r>
              <w:rPr>
                <w:rFonts w:ascii="Cambria Math" w:hAnsi="Cambria Math" w:cs="Times New Roman"/>
                <w:szCs w:val="20"/>
                <w:lang w:val="en-US"/>
              </w:rPr>
              <m:t>V</m:t>
            </m:r>
          </m:e>
          <m:sub>
            <m:r>
              <w:rPr>
                <w:rFonts w:ascii="Cambria Math" w:hAnsi="Cambria Math" w:cs="Times New Roman"/>
                <w:szCs w:val="20"/>
                <w:lang w:val="en-US"/>
              </w:rPr>
              <m:t>col</m:t>
            </m:r>
          </m:sub>
        </m:sSub>
        <m:r>
          <w:rPr>
            <w:rFonts w:ascii="Cambria Math" w:hAnsi="Cambria Math" w:cs="Times New Roman"/>
            <w:szCs w:val="20"/>
          </w:rPr>
          <m:t>=</m:t>
        </m:r>
        <m:r>
          <w:rPr>
            <w:rFonts w:ascii="Cambria Math" w:hAnsi="Cambria Math" w:cs="Times New Roman"/>
            <w:szCs w:val="20"/>
            <w:lang w:val="en-US"/>
          </w:rPr>
          <m:t>L</m:t>
        </m:r>
        <m:r>
          <w:rPr>
            <w:rFonts w:ascii="Cambria Math" w:hAnsi="Cambria Math" w:cs="Times New Roman"/>
            <w:szCs w:val="20"/>
          </w:rPr>
          <m:t>*</m:t>
        </m:r>
        <m:f>
          <m:fPr>
            <m:ctrlPr>
              <w:rPr>
                <w:rFonts w:ascii="Cambria Math" w:hAnsi="Cambria Math" w:cs="Times New Roman"/>
                <w:i/>
                <w:szCs w:val="20"/>
                <w:lang w:val="en-US"/>
              </w:rPr>
            </m:ctrlPr>
          </m:fPr>
          <m:num>
            <m:sSup>
              <m:sSupPr>
                <m:ctrlPr>
                  <w:rPr>
                    <w:rFonts w:ascii="Cambria Math" w:hAnsi="Cambria Math" w:cs="Times New Roman"/>
                    <w:i/>
                    <w:szCs w:val="20"/>
                    <w:lang w:val="en-US"/>
                  </w:rPr>
                </m:ctrlPr>
              </m:sSupPr>
              <m:e>
                <m:r>
                  <w:rPr>
                    <w:rFonts w:ascii="Cambria Math" w:hAnsi="Cambria Math" w:cs="Times New Roman"/>
                    <w:szCs w:val="20"/>
                    <w:lang w:val="en-US"/>
                  </w:rPr>
                  <m:t>D</m:t>
                </m:r>
              </m:e>
              <m:sup>
                <m:r>
                  <w:rPr>
                    <w:rFonts w:ascii="Cambria Math" w:hAnsi="Cambria Math" w:cs="Times New Roman"/>
                    <w:szCs w:val="20"/>
                  </w:rPr>
                  <m:t>2</m:t>
                </m:r>
              </m:sup>
            </m:sSup>
          </m:num>
          <m:den>
            <m:r>
              <w:rPr>
                <w:rFonts w:ascii="Cambria Math" w:hAnsi="Cambria Math" w:cs="Times New Roman"/>
                <w:szCs w:val="20"/>
              </w:rPr>
              <m:t>4</m:t>
            </m:r>
          </m:den>
        </m:f>
        <m:r>
          <w:rPr>
            <w:rFonts w:ascii="Cambria Math" w:hAnsi="Cambria Math" w:cs="Times New Roman"/>
            <w:szCs w:val="20"/>
          </w:rPr>
          <m:t>*</m:t>
        </m:r>
        <m:r>
          <w:rPr>
            <w:rFonts w:ascii="Cambria Math" w:hAnsi="Cambria Math" w:cs="Times New Roman"/>
            <w:szCs w:val="20"/>
            <w:lang w:val="en-US"/>
          </w:rPr>
          <m:t>π</m:t>
        </m:r>
      </m:oMath>
      <w:r w:rsidR="005C00D8" w:rsidRPr="005C00D8">
        <w:rPr>
          <w:rFonts w:cs="Times New Roman"/>
          <w:szCs w:val="20"/>
        </w:rPr>
        <w:t xml:space="preserve">                           (8)</w:t>
      </w:r>
    </w:p>
    <w:p w:rsidR="00793B9C" w:rsidRDefault="00525160" w:rsidP="00793B9C">
      <w:pPr>
        <w:tabs>
          <w:tab w:val="left" w:pos="6610"/>
        </w:tabs>
        <w:rPr>
          <w:rFonts w:cs="Times New Roman"/>
          <w:szCs w:val="20"/>
        </w:rPr>
      </w:pPr>
      <w:r>
        <w:rPr>
          <w:rFonts w:cs="Times New Roman"/>
          <w:szCs w:val="20"/>
        </w:rPr>
        <w:t xml:space="preserve"> </w:t>
      </w:r>
      <w:r w:rsidR="005C00D8" w:rsidRPr="005C00D8">
        <w:rPr>
          <w:rFonts w:cs="Times New Roman"/>
          <w:szCs w:val="20"/>
        </w:rPr>
        <w:t xml:space="preserve">Donde, </w:t>
      </w:r>
      <w:proofErr w:type="spellStart"/>
      <w:r w:rsidR="005C00D8" w:rsidRPr="005C00D8">
        <w:rPr>
          <w:rFonts w:cs="Times New Roman"/>
          <w:szCs w:val="20"/>
        </w:rPr>
        <w:t>R</w:t>
      </w:r>
      <w:r w:rsidR="005C00D8" w:rsidRPr="00793B9C">
        <w:rPr>
          <w:rFonts w:cs="Times New Roman"/>
          <w:szCs w:val="20"/>
        </w:rPr>
        <w:t>t</w:t>
      </w:r>
      <w:proofErr w:type="spellEnd"/>
      <w:r w:rsidR="005C00D8" w:rsidRPr="005C00D8">
        <w:rPr>
          <w:rFonts w:cs="Times New Roman"/>
          <w:szCs w:val="20"/>
        </w:rPr>
        <w:t xml:space="preserve"> es el tiempo de residencia en min, Q es el caudal de entrada a la columna en ml/min, L es la altura del lecho en la columna empacada en cm, D es el diámetro interno de la columna en cm y </w:t>
      </w:r>
      <w:proofErr w:type="spellStart"/>
      <w:r w:rsidR="005C00D8" w:rsidRPr="005C00D8">
        <w:rPr>
          <w:rFonts w:cs="Times New Roman"/>
          <w:szCs w:val="20"/>
        </w:rPr>
        <w:t>V</w:t>
      </w:r>
      <w:r w:rsidR="005C00D8" w:rsidRPr="00793B9C">
        <w:rPr>
          <w:rFonts w:cs="Times New Roman"/>
          <w:szCs w:val="20"/>
        </w:rPr>
        <w:t>col</w:t>
      </w:r>
      <w:proofErr w:type="spellEnd"/>
      <w:r w:rsidR="005C00D8" w:rsidRPr="005C00D8">
        <w:rPr>
          <w:rFonts w:cs="Times New Roman"/>
          <w:szCs w:val="20"/>
        </w:rPr>
        <w:t xml:space="preserve"> es el volumen de la columna delimitado por el lecho en ml.</w:t>
      </w:r>
    </w:p>
    <w:p w:rsidR="003453F9" w:rsidRPr="00CE4631" w:rsidRDefault="00525160" w:rsidP="00793B9C">
      <w:pPr>
        <w:tabs>
          <w:tab w:val="left" w:pos="6610"/>
        </w:tabs>
        <w:rPr>
          <w:rFonts w:cs="Times New Roman"/>
          <w:szCs w:val="20"/>
        </w:rPr>
      </w:pPr>
      <w:r>
        <w:rPr>
          <w:rFonts w:cs="Times New Roman"/>
          <w:szCs w:val="20"/>
        </w:rPr>
        <w:lastRenderedPageBreak/>
        <w:t xml:space="preserve"> </w:t>
      </w:r>
      <w:r w:rsidR="005C00D8" w:rsidRPr="005C00D8">
        <w:rPr>
          <w:rFonts w:cs="Times New Roman"/>
          <w:szCs w:val="20"/>
        </w:rPr>
        <w:t>Para el posterior tratamiento de datos se utilizaron los modelos que se describen a continuación.</w:t>
      </w:r>
    </w:p>
    <w:p w:rsidR="003453F9" w:rsidRDefault="00C71408" w:rsidP="003453F9">
      <w:pPr>
        <w:pStyle w:val="Prrafodelista"/>
        <w:numPr>
          <w:ilvl w:val="0"/>
          <w:numId w:val="8"/>
        </w:numPr>
        <w:tabs>
          <w:tab w:val="left" w:pos="6610"/>
        </w:tabs>
        <w:rPr>
          <w:rFonts w:cs="Times New Roman"/>
          <w:szCs w:val="20"/>
        </w:rPr>
      </w:pPr>
      <w:r>
        <w:rPr>
          <w:rFonts w:cs="Times New Roman"/>
          <w:szCs w:val="20"/>
        </w:rPr>
        <w:t>Modelo de Thomas</w:t>
      </w:r>
    </w:p>
    <w:p w:rsidR="00C71408" w:rsidRPr="00C71408" w:rsidRDefault="00C71408" w:rsidP="001560AE">
      <w:pPr>
        <w:tabs>
          <w:tab w:val="left" w:pos="6610"/>
        </w:tabs>
        <w:rPr>
          <w:rFonts w:cs="Times New Roman"/>
          <w:szCs w:val="20"/>
        </w:rPr>
      </w:pPr>
      <w:r w:rsidRPr="00C71408">
        <w:rPr>
          <w:rFonts w:cs="Times New Roman"/>
          <w:szCs w:val="20"/>
        </w:rPr>
        <w:t xml:space="preserve">Es uno de los modelos más usados para describir curvas de adsorción en columnas continuas. Se basa en una cinética de adsorción de segundo orden y considera que la adsorción no está limitada por la reacción química, sino por la transferencia de masa entre la interface solido-liquido. El modelo se describe mediante la siguiente ecuación (8)  </w:t>
      </w:r>
      <w:r w:rsidRPr="00C71408">
        <w:rPr>
          <w:rFonts w:cs="Times New Roman"/>
          <w:szCs w:val="20"/>
        </w:rPr>
        <w:fldChar w:fldCharType="begin"/>
      </w:r>
      <w:r w:rsidRPr="00C71408">
        <w:rPr>
          <w:rFonts w:cs="Times New Roman"/>
          <w:szCs w:val="20"/>
        </w:rPr>
        <w:instrText xml:space="preserve"> ADDIN EN.CITE &lt;EndNote&gt;&lt;Cite&gt;&lt;Author&gt;Vijayaraghavan&lt;/Author&gt;&lt;Year&gt;2008&lt;/Year&gt;&lt;RecNum&gt;11&lt;/RecNum&gt;&lt;DisplayText&gt;[12]&lt;/DisplayText&gt;&lt;record&gt;&lt;rec-number&gt;11&lt;/rec-number&gt;&lt;foreign-keys&gt;&lt;key app="EN" db-id="af55vdv5m25e9ve2er6xeed5fe2stf0fdwzw"&gt;11&lt;/key&gt;&lt;/foreign-keys&gt;&lt;ref-type name="Journal Article"&gt;17&lt;/ref-type&gt;&lt;contributors&gt;&lt;authors&gt;&lt;author&gt;K. Vijayaraghavan&lt;/author&gt;&lt;author&gt;Y. Yun &lt;/author&gt;&lt;/authors&gt;&lt;/contributors&gt;&lt;titles&gt;&lt;title&gt;Chemical modification of Corynebacterium glutamicum to improve methylene blue biosorption&lt;/title&gt;&lt;secondary-title&gt;Chemical Engineering Journal&lt;/secondary-title&gt;&lt;/titles&gt;&lt;periodical&gt;&lt;full-title&gt;Chemical Engineering Journal&lt;/full-title&gt;&lt;/periodical&gt;&lt;pages&gt;1-6&lt;/pages&gt;&lt;volume&gt;145&lt;/volume&gt;&lt;number&gt;1&lt;/number&gt;&lt;dates&gt;&lt;year&gt;2008&lt;/year&gt;&lt;/dates&gt;&lt;urls&gt;&lt;/urls&gt;&lt;/record&gt;&lt;/Cite&gt;&lt;/EndNote&gt;</w:instrText>
      </w:r>
      <w:r w:rsidRPr="00C71408">
        <w:rPr>
          <w:rFonts w:cs="Times New Roman"/>
          <w:szCs w:val="20"/>
        </w:rPr>
        <w:fldChar w:fldCharType="separate"/>
      </w:r>
      <w:r w:rsidRPr="00C71408">
        <w:rPr>
          <w:rFonts w:cs="Times New Roman"/>
          <w:szCs w:val="20"/>
        </w:rPr>
        <w:t>[</w:t>
      </w:r>
      <w:hyperlink w:anchor="_ENREF_12" w:tooltip="Vijayaraghavan, 2008 #11" w:history="1">
        <w:r w:rsidR="005E319C" w:rsidRPr="00C71408">
          <w:t>12</w:t>
        </w:r>
      </w:hyperlink>
      <w:r w:rsidRPr="00C71408">
        <w:rPr>
          <w:rFonts w:cs="Times New Roman"/>
          <w:szCs w:val="20"/>
        </w:rPr>
        <w:t>]</w:t>
      </w:r>
      <w:r w:rsidRPr="00C71408">
        <w:rPr>
          <w:rFonts w:cs="Times New Roman"/>
          <w:szCs w:val="20"/>
        </w:rPr>
        <w:fldChar w:fldCharType="end"/>
      </w:r>
      <w:r w:rsidR="00670A64">
        <w:rPr>
          <w:rFonts w:cs="Times New Roman"/>
          <w:szCs w:val="20"/>
        </w:rPr>
        <w:t>.</w:t>
      </w:r>
    </w:p>
    <w:p w:rsidR="00793B9C" w:rsidRDefault="00793B9C" w:rsidP="00793B9C">
      <w:pPr>
        <w:tabs>
          <w:tab w:val="left" w:pos="6610"/>
        </w:tabs>
        <w:jc w:val="right"/>
        <w:rPr>
          <w:rFonts w:cs="Times New Roman"/>
          <w:szCs w:val="20"/>
        </w:rPr>
      </w:pPr>
      <w:r>
        <w:rPr>
          <w:rFonts w:cs="Times New Roman"/>
          <w:szCs w:val="20"/>
        </w:rPr>
        <w:t xml:space="preserve">    </w:t>
      </w:r>
      <w:r w:rsidR="00C71408" w:rsidRPr="00C71408">
        <w:rPr>
          <w:rFonts w:cs="Times New Roman"/>
          <w:szCs w:val="20"/>
        </w:rPr>
        <w:t xml:space="preserve">     </w:t>
      </w:r>
      <m:oMath>
        <m:f>
          <m:fPr>
            <m:ctrlPr>
              <w:rPr>
                <w:rFonts w:ascii="Cambria Math" w:hAnsi="Cambria Math" w:cs="Times New Roman"/>
                <w:szCs w:val="20"/>
              </w:rPr>
            </m:ctrlPr>
          </m:fPr>
          <m:num>
            <m:r>
              <w:rPr>
                <w:rFonts w:ascii="Cambria Math" w:hAnsi="Cambria Math" w:cs="Times New Roman"/>
                <w:szCs w:val="20"/>
              </w:rPr>
              <m:t>C</m:t>
            </m:r>
          </m:num>
          <m:den>
            <m:sSub>
              <m:sSubPr>
                <m:ctrlPr>
                  <w:rPr>
                    <w:rFonts w:ascii="Cambria Math" w:hAnsi="Cambria Math" w:cs="Times New Roman"/>
                    <w:szCs w:val="20"/>
                  </w:rPr>
                </m:ctrlPr>
              </m:sSubPr>
              <m:e>
                <m:r>
                  <w:rPr>
                    <w:rFonts w:ascii="Cambria Math" w:hAnsi="Cambria Math" w:cs="Times New Roman"/>
                    <w:szCs w:val="20"/>
                  </w:rPr>
                  <m:t>C</m:t>
                </m:r>
              </m:e>
              <m:sub>
                <m:r>
                  <m:rPr>
                    <m:sty m:val="p"/>
                  </m:rPr>
                  <w:rPr>
                    <w:rFonts w:ascii="Cambria Math" w:hAnsi="Cambria Math" w:cs="Times New Roman"/>
                    <w:szCs w:val="20"/>
                  </w:rPr>
                  <m:t>0</m:t>
                </m:r>
              </m:sub>
            </m:sSub>
          </m:den>
        </m:f>
        <m:r>
          <m:rPr>
            <m:sty m:val="p"/>
          </m:rPr>
          <w:rPr>
            <w:rFonts w:ascii="Cambria Math" w:hAnsi="Cambria Math" w:cs="Times New Roman"/>
            <w:szCs w:val="20"/>
          </w:rPr>
          <m:t>=</m:t>
        </m:r>
        <m:f>
          <m:fPr>
            <m:ctrlPr>
              <w:rPr>
                <w:rFonts w:ascii="Cambria Math" w:hAnsi="Cambria Math" w:cs="Times New Roman"/>
                <w:szCs w:val="20"/>
              </w:rPr>
            </m:ctrlPr>
          </m:fPr>
          <m:num>
            <m:r>
              <m:rPr>
                <m:sty m:val="p"/>
              </m:rPr>
              <w:rPr>
                <w:rFonts w:ascii="Cambria Math" w:hAnsi="Cambria Math" w:cs="Times New Roman"/>
                <w:szCs w:val="20"/>
              </w:rPr>
              <m:t>1</m:t>
            </m:r>
          </m:num>
          <m:den>
            <m:r>
              <m:rPr>
                <m:sty m:val="p"/>
              </m:rPr>
              <w:rPr>
                <w:rFonts w:ascii="Cambria Math" w:hAnsi="Cambria Math" w:cs="Times New Roman"/>
                <w:szCs w:val="20"/>
              </w:rPr>
              <m:t>1+</m:t>
            </m:r>
            <m:r>
              <w:rPr>
                <w:rFonts w:ascii="Cambria Math" w:hAnsi="Cambria Math" w:cs="Times New Roman"/>
                <w:szCs w:val="20"/>
              </w:rPr>
              <m:t>exp</m:t>
            </m:r>
            <m:d>
              <m:dPr>
                <m:begChr m:val="⌊"/>
                <m:endChr m:val="⌋"/>
                <m:ctrlPr>
                  <w:rPr>
                    <w:rFonts w:ascii="Cambria Math" w:hAnsi="Cambria Math" w:cs="Times New Roman"/>
                    <w:szCs w:val="20"/>
                  </w:rPr>
                </m:ctrlPr>
              </m:dPr>
              <m:e>
                <m:f>
                  <m:fPr>
                    <m:ctrlPr>
                      <w:rPr>
                        <w:rFonts w:ascii="Cambria Math" w:hAnsi="Cambria Math" w:cs="Times New Roman"/>
                        <w:szCs w:val="20"/>
                      </w:rPr>
                    </m:ctrlPr>
                  </m:fPr>
                  <m:num>
                    <m:sSub>
                      <m:sSubPr>
                        <m:ctrlPr>
                          <w:rPr>
                            <w:rFonts w:ascii="Cambria Math" w:hAnsi="Cambria Math" w:cs="Times New Roman"/>
                            <w:szCs w:val="20"/>
                          </w:rPr>
                        </m:ctrlPr>
                      </m:sSubPr>
                      <m:e>
                        <m:r>
                          <w:rPr>
                            <w:rFonts w:ascii="Cambria Math" w:hAnsi="Cambria Math" w:cs="Times New Roman"/>
                            <w:szCs w:val="20"/>
                          </w:rPr>
                          <m:t>k</m:t>
                        </m:r>
                      </m:e>
                      <m:sub>
                        <m:r>
                          <w:rPr>
                            <w:rFonts w:ascii="Cambria Math" w:hAnsi="Cambria Math" w:cs="Times New Roman"/>
                            <w:szCs w:val="20"/>
                          </w:rPr>
                          <m:t>TH</m:t>
                        </m:r>
                      </m:sub>
                    </m:sSub>
                  </m:num>
                  <m:den>
                    <m:r>
                      <w:rPr>
                        <w:rFonts w:ascii="Cambria Math" w:hAnsi="Cambria Math" w:cs="Times New Roman"/>
                        <w:szCs w:val="20"/>
                      </w:rPr>
                      <m:t>Q</m:t>
                    </m:r>
                  </m:den>
                </m:f>
                <m:r>
                  <m:rPr>
                    <m:sty m:val="p"/>
                  </m:rPr>
                  <w:rPr>
                    <w:rFonts w:ascii="Cambria Math" w:hAnsi="Cambria Math" w:cs="Times New Roman"/>
                    <w:szCs w:val="20"/>
                  </w:rPr>
                  <m:t>(</m:t>
                </m:r>
                <m:sSub>
                  <m:sSubPr>
                    <m:ctrlPr>
                      <w:rPr>
                        <w:rFonts w:ascii="Cambria Math" w:hAnsi="Cambria Math" w:cs="Times New Roman"/>
                        <w:szCs w:val="20"/>
                      </w:rPr>
                    </m:ctrlPr>
                  </m:sSubPr>
                  <m:e>
                    <m:r>
                      <w:rPr>
                        <w:rFonts w:ascii="Cambria Math" w:hAnsi="Cambria Math" w:cs="Times New Roman"/>
                        <w:szCs w:val="20"/>
                      </w:rPr>
                      <m:t>q</m:t>
                    </m:r>
                  </m:e>
                  <m:sub>
                    <m:r>
                      <m:rPr>
                        <m:sty m:val="p"/>
                      </m:rPr>
                      <w:rPr>
                        <w:rFonts w:ascii="Cambria Math" w:hAnsi="Cambria Math" w:cs="Times New Roman"/>
                        <w:szCs w:val="20"/>
                      </w:rPr>
                      <m:t>0</m:t>
                    </m:r>
                  </m:sub>
                </m:sSub>
                <m:r>
                  <w:rPr>
                    <w:rFonts w:ascii="Cambria Math" w:hAnsi="Cambria Math" w:cs="Times New Roman"/>
                    <w:szCs w:val="20"/>
                  </w:rPr>
                  <m:t>X</m:t>
                </m:r>
                <m:r>
                  <m:rPr>
                    <m:sty m:val="p"/>
                  </m:rPr>
                  <w:rPr>
                    <w:rFonts w:ascii="Cambria Math" w:hAnsi="Cambria Math" w:cs="Times New Roman"/>
                    <w:szCs w:val="20"/>
                  </w:rPr>
                  <m:t>-</m:t>
                </m:r>
                <m:sSub>
                  <m:sSubPr>
                    <m:ctrlPr>
                      <w:rPr>
                        <w:rFonts w:ascii="Cambria Math" w:hAnsi="Cambria Math" w:cs="Times New Roman"/>
                        <w:szCs w:val="20"/>
                      </w:rPr>
                    </m:ctrlPr>
                  </m:sSubPr>
                  <m:e>
                    <m:r>
                      <w:rPr>
                        <w:rFonts w:ascii="Cambria Math" w:hAnsi="Cambria Math" w:cs="Times New Roman"/>
                        <w:szCs w:val="20"/>
                      </w:rPr>
                      <m:t>C</m:t>
                    </m:r>
                  </m:e>
                  <m:sub>
                    <m:r>
                      <m:rPr>
                        <m:sty m:val="p"/>
                      </m:rPr>
                      <w:rPr>
                        <w:rFonts w:ascii="Cambria Math" w:hAnsi="Cambria Math" w:cs="Times New Roman"/>
                        <w:szCs w:val="20"/>
                      </w:rPr>
                      <m:t>0</m:t>
                    </m:r>
                  </m:sub>
                </m:sSub>
                <m:r>
                  <w:rPr>
                    <w:rFonts w:ascii="Cambria Math" w:hAnsi="Cambria Math" w:cs="Times New Roman"/>
                    <w:szCs w:val="20"/>
                  </w:rPr>
                  <m:t>V</m:t>
                </m:r>
                <m:r>
                  <m:rPr>
                    <m:sty m:val="p"/>
                  </m:rPr>
                  <w:rPr>
                    <w:rFonts w:ascii="Cambria Math" w:hAnsi="Cambria Math" w:cs="Times New Roman"/>
                    <w:szCs w:val="20"/>
                  </w:rPr>
                  <m:t>)</m:t>
                </m:r>
              </m:e>
            </m:d>
          </m:den>
        </m:f>
      </m:oMath>
      <w:r w:rsidR="00C71408" w:rsidRPr="00C71408">
        <w:rPr>
          <w:rFonts w:cs="Times New Roman"/>
          <w:szCs w:val="20"/>
        </w:rPr>
        <w:t xml:space="preserve">                           (9)</w:t>
      </w:r>
    </w:p>
    <w:p w:rsidR="00C71408" w:rsidRPr="00C71408" w:rsidRDefault="00C71408" w:rsidP="00E15F45">
      <w:pPr>
        <w:tabs>
          <w:tab w:val="left" w:pos="6610"/>
        </w:tabs>
        <w:rPr>
          <w:rFonts w:cs="Times New Roman"/>
          <w:szCs w:val="20"/>
        </w:rPr>
      </w:pPr>
      <w:r w:rsidRPr="00C71408">
        <w:rPr>
          <w:rFonts w:cs="Times New Roman"/>
          <w:szCs w:val="20"/>
        </w:rPr>
        <w:t xml:space="preserve"> Donde </w:t>
      </w:r>
      <w:proofErr w:type="spellStart"/>
      <w:r w:rsidRPr="00C71408">
        <w:rPr>
          <w:rFonts w:cs="Times New Roman"/>
          <w:szCs w:val="20"/>
        </w:rPr>
        <w:t>kTH</w:t>
      </w:r>
      <w:proofErr w:type="spellEnd"/>
      <w:r w:rsidRPr="00C71408">
        <w:rPr>
          <w:rFonts w:cs="Times New Roman"/>
          <w:szCs w:val="20"/>
        </w:rPr>
        <w:t xml:space="preserve"> es la constante de Thomas (ml min-1 mg-1), q0 es la concentración máxima de soluto en la fase solida (mg g-1) y X es la cantidad de adsorbente en la columna (g). La forma lineal del modelo de Thomas es representada por la ecuación</w:t>
      </w:r>
      <w:r w:rsidR="00670A64">
        <w:rPr>
          <w:rFonts w:cs="Times New Roman"/>
          <w:szCs w:val="20"/>
        </w:rPr>
        <w:t xml:space="preserve"> (10).</w:t>
      </w:r>
    </w:p>
    <w:p w:rsidR="00C71408" w:rsidRPr="00C71408" w:rsidRDefault="00E15F45" w:rsidP="00670A64">
      <w:pPr>
        <w:tabs>
          <w:tab w:val="left" w:pos="6610"/>
        </w:tabs>
        <w:jc w:val="right"/>
        <w:rPr>
          <w:rFonts w:cs="Times New Roman"/>
          <w:szCs w:val="20"/>
        </w:rPr>
      </w:pPr>
      <w:r>
        <w:rPr>
          <w:rFonts w:cs="Times New Roman"/>
          <w:szCs w:val="20"/>
        </w:rPr>
        <w:t xml:space="preserve"> </w:t>
      </w:r>
      <w:r w:rsidR="00C71408" w:rsidRPr="00C71408">
        <w:rPr>
          <w:rFonts w:cs="Times New Roman"/>
          <w:szCs w:val="20"/>
        </w:rPr>
        <w:t xml:space="preserve">       </w:t>
      </w:r>
      <m:oMath>
        <m:func>
          <m:funcPr>
            <m:ctrlPr>
              <w:rPr>
                <w:rFonts w:ascii="Cambria Math" w:hAnsi="Cambria Math" w:cs="Times New Roman"/>
                <w:szCs w:val="20"/>
              </w:rPr>
            </m:ctrlPr>
          </m:funcPr>
          <m:fName>
            <m:r>
              <m:rPr>
                <m:sty m:val="p"/>
              </m:rPr>
              <w:rPr>
                <w:rFonts w:ascii="Cambria Math" w:hAnsi="Cambria Math" w:cs="Times New Roman"/>
                <w:szCs w:val="20"/>
              </w:rPr>
              <m:t>ln</m:t>
            </m:r>
          </m:fName>
          <m:e>
            <m:d>
              <m:dPr>
                <m:ctrlPr>
                  <w:rPr>
                    <w:rFonts w:ascii="Cambria Math" w:hAnsi="Cambria Math" w:cs="Times New Roman"/>
                    <w:szCs w:val="20"/>
                  </w:rPr>
                </m:ctrlPr>
              </m:dPr>
              <m:e>
                <m:f>
                  <m:fPr>
                    <m:ctrlPr>
                      <w:rPr>
                        <w:rFonts w:ascii="Cambria Math" w:hAnsi="Cambria Math" w:cs="Times New Roman"/>
                        <w:szCs w:val="20"/>
                      </w:rPr>
                    </m:ctrlPr>
                  </m:fPr>
                  <m:num>
                    <m:sSub>
                      <m:sSubPr>
                        <m:ctrlPr>
                          <w:rPr>
                            <w:rFonts w:ascii="Cambria Math" w:hAnsi="Cambria Math" w:cs="Times New Roman"/>
                            <w:szCs w:val="20"/>
                          </w:rPr>
                        </m:ctrlPr>
                      </m:sSubPr>
                      <m:e>
                        <m:r>
                          <w:rPr>
                            <w:rFonts w:ascii="Cambria Math" w:hAnsi="Cambria Math" w:cs="Times New Roman"/>
                            <w:szCs w:val="20"/>
                          </w:rPr>
                          <m:t>C</m:t>
                        </m:r>
                      </m:e>
                      <m:sub>
                        <m:r>
                          <m:rPr>
                            <m:sty m:val="p"/>
                          </m:rPr>
                          <w:rPr>
                            <w:rFonts w:ascii="Cambria Math" w:hAnsi="Cambria Math" w:cs="Times New Roman"/>
                            <w:szCs w:val="20"/>
                          </w:rPr>
                          <m:t>0</m:t>
                        </m:r>
                      </m:sub>
                    </m:sSub>
                  </m:num>
                  <m:den>
                    <m:r>
                      <w:rPr>
                        <w:rFonts w:ascii="Cambria Math" w:hAnsi="Cambria Math" w:cs="Times New Roman"/>
                        <w:szCs w:val="20"/>
                      </w:rPr>
                      <m:t>C</m:t>
                    </m:r>
                  </m:den>
                </m:f>
                <m:r>
                  <m:rPr>
                    <m:sty m:val="p"/>
                  </m:rPr>
                  <w:rPr>
                    <w:rFonts w:ascii="Cambria Math" w:hAnsi="Cambria Math" w:cs="Times New Roman"/>
                    <w:szCs w:val="20"/>
                  </w:rPr>
                  <m:t>-1</m:t>
                </m:r>
              </m:e>
            </m:d>
          </m:e>
        </m:func>
        <m:r>
          <m:rPr>
            <m:sty m:val="p"/>
          </m:rPr>
          <w:rPr>
            <w:rFonts w:ascii="Cambria Math" w:hAnsi="Cambria Math" w:cs="Times New Roman"/>
            <w:szCs w:val="20"/>
          </w:rPr>
          <m:t>=</m:t>
        </m:r>
        <m:f>
          <m:fPr>
            <m:ctrlPr>
              <w:rPr>
                <w:rFonts w:ascii="Cambria Math" w:hAnsi="Cambria Math" w:cs="Times New Roman"/>
                <w:szCs w:val="20"/>
              </w:rPr>
            </m:ctrlPr>
          </m:fPr>
          <m:num>
            <m:sSub>
              <m:sSubPr>
                <m:ctrlPr>
                  <w:rPr>
                    <w:rFonts w:ascii="Cambria Math" w:hAnsi="Cambria Math" w:cs="Times New Roman"/>
                    <w:szCs w:val="20"/>
                  </w:rPr>
                </m:ctrlPr>
              </m:sSubPr>
              <m:e>
                <m:r>
                  <w:rPr>
                    <w:rFonts w:ascii="Cambria Math" w:hAnsi="Cambria Math" w:cs="Times New Roman"/>
                    <w:szCs w:val="20"/>
                  </w:rPr>
                  <m:t>k</m:t>
                </m:r>
              </m:e>
              <m:sub>
                <m:r>
                  <w:rPr>
                    <w:rFonts w:ascii="Cambria Math" w:hAnsi="Cambria Math" w:cs="Times New Roman"/>
                    <w:szCs w:val="20"/>
                  </w:rPr>
                  <m:t>TH</m:t>
                </m:r>
              </m:sub>
            </m:sSub>
            <m:sSub>
              <m:sSubPr>
                <m:ctrlPr>
                  <w:rPr>
                    <w:rFonts w:ascii="Cambria Math" w:hAnsi="Cambria Math" w:cs="Times New Roman"/>
                    <w:szCs w:val="20"/>
                  </w:rPr>
                </m:ctrlPr>
              </m:sSubPr>
              <m:e>
                <m:r>
                  <w:rPr>
                    <w:rFonts w:ascii="Cambria Math" w:hAnsi="Cambria Math" w:cs="Times New Roman"/>
                    <w:szCs w:val="20"/>
                  </w:rPr>
                  <m:t>q</m:t>
                </m:r>
              </m:e>
              <m:sub>
                <m:r>
                  <m:rPr>
                    <m:sty m:val="p"/>
                  </m:rPr>
                  <w:rPr>
                    <w:rFonts w:ascii="Cambria Math" w:hAnsi="Cambria Math" w:cs="Times New Roman"/>
                    <w:szCs w:val="20"/>
                  </w:rPr>
                  <m:t>0</m:t>
                </m:r>
              </m:sub>
            </m:sSub>
            <m:r>
              <w:rPr>
                <w:rFonts w:ascii="Cambria Math" w:hAnsi="Cambria Math" w:cs="Times New Roman"/>
                <w:szCs w:val="20"/>
              </w:rPr>
              <m:t>m</m:t>
            </m:r>
          </m:num>
          <m:den>
            <m:r>
              <w:rPr>
                <w:rFonts w:ascii="Cambria Math" w:hAnsi="Cambria Math" w:cs="Times New Roman"/>
                <w:szCs w:val="20"/>
              </w:rPr>
              <m:t>Q</m:t>
            </m:r>
          </m:den>
        </m:f>
        <m:r>
          <m:rPr>
            <m:sty m:val="p"/>
          </m:rPr>
          <w:rPr>
            <w:rFonts w:ascii="Cambria Math" w:hAnsi="Cambria Math" w:cs="Times New Roman"/>
            <w:szCs w:val="20"/>
          </w:rPr>
          <m:t>-</m:t>
        </m:r>
        <m:f>
          <m:fPr>
            <m:ctrlPr>
              <w:rPr>
                <w:rFonts w:ascii="Cambria Math" w:hAnsi="Cambria Math" w:cs="Times New Roman"/>
                <w:szCs w:val="20"/>
              </w:rPr>
            </m:ctrlPr>
          </m:fPr>
          <m:num>
            <m:sSub>
              <m:sSubPr>
                <m:ctrlPr>
                  <w:rPr>
                    <w:rFonts w:ascii="Cambria Math" w:hAnsi="Cambria Math" w:cs="Times New Roman"/>
                    <w:szCs w:val="20"/>
                  </w:rPr>
                </m:ctrlPr>
              </m:sSubPr>
              <m:e>
                <m:r>
                  <w:rPr>
                    <w:rFonts w:ascii="Cambria Math" w:hAnsi="Cambria Math" w:cs="Times New Roman"/>
                    <w:szCs w:val="20"/>
                  </w:rPr>
                  <m:t>k</m:t>
                </m:r>
              </m:e>
              <m:sub>
                <m:r>
                  <w:rPr>
                    <w:rFonts w:ascii="Cambria Math" w:hAnsi="Cambria Math" w:cs="Times New Roman"/>
                    <w:szCs w:val="20"/>
                  </w:rPr>
                  <m:t>TH</m:t>
                </m:r>
              </m:sub>
            </m:sSub>
            <m:sSub>
              <m:sSubPr>
                <m:ctrlPr>
                  <w:rPr>
                    <w:rFonts w:ascii="Cambria Math" w:hAnsi="Cambria Math" w:cs="Times New Roman"/>
                    <w:szCs w:val="20"/>
                  </w:rPr>
                </m:ctrlPr>
              </m:sSubPr>
              <m:e>
                <m:r>
                  <w:rPr>
                    <w:rFonts w:ascii="Cambria Math" w:hAnsi="Cambria Math" w:cs="Times New Roman"/>
                    <w:szCs w:val="20"/>
                  </w:rPr>
                  <m:t>C</m:t>
                </m:r>
              </m:e>
              <m:sub>
                <m:r>
                  <m:rPr>
                    <m:sty m:val="p"/>
                  </m:rPr>
                  <w:rPr>
                    <w:rFonts w:ascii="Cambria Math" w:hAnsi="Cambria Math" w:cs="Times New Roman"/>
                    <w:szCs w:val="20"/>
                  </w:rPr>
                  <m:t>0</m:t>
                </m:r>
              </m:sub>
            </m:sSub>
          </m:num>
          <m:den>
            <m:r>
              <m:rPr>
                <m:sty m:val="p"/>
              </m:rPr>
              <w:rPr>
                <w:rFonts w:ascii="Cambria Math" w:hAnsi="Cambria Math" w:cs="Times New Roman"/>
                <w:szCs w:val="20"/>
              </w:rPr>
              <m:t>1000</m:t>
            </m:r>
            <m:r>
              <w:rPr>
                <w:rFonts w:ascii="Cambria Math" w:hAnsi="Cambria Math" w:cs="Times New Roman"/>
                <w:szCs w:val="20"/>
              </w:rPr>
              <m:t>Q</m:t>
            </m:r>
          </m:den>
        </m:f>
        <m:sSub>
          <m:sSubPr>
            <m:ctrlPr>
              <w:rPr>
                <w:rFonts w:ascii="Cambria Math" w:hAnsi="Cambria Math" w:cs="Times New Roman"/>
                <w:szCs w:val="20"/>
              </w:rPr>
            </m:ctrlPr>
          </m:sSubPr>
          <m:e>
            <m:r>
              <w:rPr>
                <w:rFonts w:ascii="Cambria Math" w:hAnsi="Cambria Math" w:cs="Times New Roman"/>
                <w:szCs w:val="20"/>
              </w:rPr>
              <m:t>V</m:t>
            </m:r>
          </m:e>
          <m:sub>
            <m:r>
              <w:rPr>
                <w:rFonts w:ascii="Cambria Math" w:hAnsi="Cambria Math" w:cs="Times New Roman"/>
                <w:szCs w:val="20"/>
              </w:rPr>
              <m:t>ef</m:t>
            </m:r>
          </m:sub>
        </m:sSub>
      </m:oMath>
      <w:r w:rsidR="00C71408" w:rsidRPr="00C71408">
        <w:rPr>
          <w:rFonts w:cs="Times New Roman"/>
          <w:szCs w:val="20"/>
        </w:rPr>
        <w:t xml:space="preserve">            (10)</w:t>
      </w:r>
    </w:p>
    <w:p w:rsidR="00C71408" w:rsidRDefault="00C71408" w:rsidP="004543D3">
      <w:pPr>
        <w:tabs>
          <w:tab w:val="left" w:pos="6610"/>
        </w:tabs>
        <w:rPr>
          <w:rFonts w:cs="Times New Roman"/>
          <w:szCs w:val="20"/>
        </w:rPr>
      </w:pPr>
      <w:r w:rsidRPr="00C71408">
        <w:rPr>
          <w:rFonts w:cs="Times New Roman"/>
          <w:szCs w:val="20"/>
        </w:rPr>
        <w:t xml:space="preserve">Si se representa </w:t>
      </w:r>
      <w:proofErr w:type="spellStart"/>
      <w:r w:rsidRPr="00C71408">
        <w:rPr>
          <w:rFonts w:cs="Times New Roman"/>
          <w:szCs w:val="20"/>
        </w:rPr>
        <w:t>ln</w:t>
      </w:r>
      <w:proofErr w:type="spellEnd"/>
      <w:r w:rsidRPr="00C71408">
        <w:rPr>
          <w:rFonts w:cs="Times New Roman"/>
          <w:szCs w:val="20"/>
        </w:rPr>
        <w:t xml:space="preserve">((C0/C)-1) frente </w:t>
      </w:r>
      <w:proofErr w:type="spellStart"/>
      <w:r w:rsidRPr="00C71408">
        <w:rPr>
          <w:rFonts w:cs="Times New Roman"/>
          <w:szCs w:val="20"/>
        </w:rPr>
        <w:t>Vef</w:t>
      </w:r>
      <w:proofErr w:type="spellEnd"/>
      <w:r w:rsidRPr="00C71408">
        <w:rPr>
          <w:rFonts w:cs="Times New Roman"/>
          <w:szCs w:val="20"/>
        </w:rPr>
        <w:t xml:space="preserve"> para un caudal determinado, de la pendiente y el intercepto se obtienen los parámetros del modelo </w:t>
      </w:r>
      <w:proofErr w:type="spellStart"/>
      <w:r w:rsidRPr="00C71408">
        <w:rPr>
          <w:rFonts w:cs="Times New Roman"/>
          <w:szCs w:val="20"/>
        </w:rPr>
        <w:t>kTH</w:t>
      </w:r>
      <w:proofErr w:type="spellEnd"/>
      <w:r w:rsidRPr="00C71408">
        <w:rPr>
          <w:rFonts w:cs="Times New Roman"/>
          <w:szCs w:val="20"/>
        </w:rPr>
        <w:t xml:space="preserve"> y q0.</w:t>
      </w:r>
    </w:p>
    <w:p w:rsidR="0078733E" w:rsidRPr="0078733E" w:rsidRDefault="001560AE" w:rsidP="0078733E">
      <w:pPr>
        <w:pStyle w:val="Prrafodelista"/>
        <w:numPr>
          <w:ilvl w:val="0"/>
          <w:numId w:val="8"/>
        </w:numPr>
        <w:tabs>
          <w:tab w:val="left" w:pos="6610"/>
        </w:tabs>
      </w:pPr>
      <w:r w:rsidRPr="0078733E">
        <w:rPr>
          <w:rFonts w:cs="Times New Roman"/>
          <w:szCs w:val="20"/>
        </w:rPr>
        <w:t xml:space="preserve">Modelo de </w:t>
      </w:r>
      <w:proofErr w:type="spellStart"/>
      <w:r w:rsidRPr="0078733E">
        <w:rPr>
          <w:rFonts w:cs="Times New Roman"/>
          <w:szCs w:val="20"/>
        </w:rPr>
        <w:t>Yoon</w:t>
      </w:r>
      <w:proofErr w:type="spellEnd"/>
      <w:r w:rsidRPr="0078733E">
        <w:rPr>
          <w:rFonts w:cs="Times New Roman"/>
          <w:szCs w:val="20"/>
        </w:rPr>
        <w:t xml:space="preserve"> y Nelson</w:t>
      </w:r>
    </w:p>
    <w:p w:rsidR="001560AE" w:rsidRPr="000C1AD4" w:rsidRDefault="001560AE" w:rsidP="004543D3">
      <w:pPr>
        <w:tabs>
          <w:tab w:val="left" w:pos="6610"/>
        </w:tabs>
        <w:rPr>
          <w:rFonts w:cs="Times New Roman"/>
          <w:szCs w:val="20"/>
        </w:rPr>
      </w:pPr>
      <w:r w:rsidRPr="0078733E">
        <w:rPr>
          <w:rFonts w:cs="Times New Roman"/>
          <w:szCs w:val="20"/>
        </w:rPr>
        <w:t xml:space="preserve"> Este modelo asume que la vel</w:t>
      </w:r>
      <w:r w:rsidR="00872122">
        <w:rPr>
          <w:rFonts w:cs="Times New Roman"/>
          <w:szCs w:val="20"/>
        </w:rPr>
        <w:t>ocidad de disminución de la prob</w:t>
      </w:r>
      <w:r w:rsidRPr="0078733E">
        <w:rPr>
          <w:rFonts w:cs="Times New Roman"/>
          <w:szCs w:val="20"/>
        </w:rPr>
        <w:t xml:space="preserve">abilidad de la adsorción para cada molécula de adsorbato, es proporcional a la probabilidad de adsorción del adsorbato y a la probabilidad de saturación en el adsorbente </w:t>
      </w:r>
      <w:r w:rsidRPr="0078733E">
        <w:rPr>
          <w:rFonts w:cs="Times New Roman"/>
          <w:szCs w:val="20"/>
        </w:rPr>
        <w:fldChar w:fldCharType="begin"/>
      </w:r>
      <w:r w:rsidRPr="0078733E">
        <w:rPr>
          <w:rFonts w:cs="Times New Roman"/>
          <w:szCs w:val="20"/>
        </w:rPr>
        <w:instrText xml:space="preserve"> ADDIN EN.CITE &lt;EndNote&gt;&lt;Cite&gt;&lt;Author&gt;Vijayaraghavan&lt;/Author&gt;&lt;Year&gt;2008&lt;/Year&gt;&lt;RecNum&gt;11&lt;/RecNum&gt;&lt;DisplayText&gt;[12]&lt;/DisplayText&gt;&lt;record&gt;&lt;rec-number&gt;11&lt;/rec-number&gt;&lt;foreign-keys&gt;&lt;key app="EN" db-id="af55vdv5m25e9ve2er6xeed5fe2stf0fdwzw"&gt;11&lt;/key&gt;&lt;/foreign-keys&gt;&lt;ref-type name="Journal Article"&gt;17&lt;/ref-type&gt;&lt;contributors&gt;&lt;authors&gt;&lt;author&gt;K. Vijayaraghavan&lt;/author&gt;&lt;author&gt;Y. Yun &lt;/author&gt;&lt;/authors&gt;&lt;/contributors&gt;&lt;titles&gt;&lt;title&gt;Chemical modification of Corynebacterium glutamicum to improve methylene blue biosorption&lt;/title&gt;&lt;secondary-title&gt;Chemical Engineering Journal&lt;/secondary-title&gt;&lt;/titles&gt;&lt;periodical&gt;&lt;full-title&gt;Chemical Engineering Journal&lt;/full-title&gt;&lt;/periodical&gt;&lt;pages&gt;1-6&lt;/pages&gt;&lt;volume&gt;145&lt;/volume&gt;&lt;number&gt;1&lt;/number&gt;&lt;dates&gt;&lt;year&gt;2008&lt;/year&gt;&lt;/dates&gt;&lt;urls&gt;&lt;/urls&gt;&lt;/record&gt;&lt;/Cite&gt;&lt;/EndNote&gt;</w:instrText>
      </w:r>
      <w:r w:rsidRPr="0078733E">
        <w:rPr>
          <w:rFonts w:cs="Times New Roman"/>
          <w:szCs w:val="20"/>
        </w:rPr>
        <w:fldChar w:fldCharType="separate"/>
      </w:r>
      <w:r w:rsidRPr="0078733E">
        <w:rPr>
          <w:rFonts w:cs="Times New Roman"/>
          <w:szCs w:val="20"/>
        </w:rPr>
        <w:t>[</w:t>
      </w:r>
      <w:hyperlink w:anchor="_ENREF_12" w:tooltip="Vijayaraghavan, 2008 #11" w:history="1">
        <w:r w:rsidR="005E319C" w:rsidRPr="0078733E">
          <w:rPr>
            <w:rFonts w:cs="Times New Roman"/>
            <w:szCs w:val="20"/>
          </w:rPr>
          <w:t>12</w:t>
        </w:r>
      </w:hyperlink>
      <w:r w:rsidRPr="0078733E">
        <w:rPr>
          <w:rFonts w:cs="Times New Roman"/>
          <w:szCs w:val="20"/>
        </w:rPr>
        <w:t>]</w:t>
      </w:r>
      <w:r w:rsidRPr="0078733E">
        <w:rPr>
          <w:rFonts w:cs="Times New Roman"/>
          <w:szCs w:val="20"/>
        </w:rPr>
        <w:fldChar w:fldCharType="end"/>
      </w:r>
      <w:r w:rsidRPr="0078733E">
        <w:rPr>
          <w:rFonts w:cs="Times New Roman"/>
          <w:szCs w:val="20"/>
        </w:rPr>
        <w:t>. Es decir, a medida que avanza la adsorción, disminuye la probabilidad que esta continúe. Para un sistema de adsorción en lecho fijo y de un solo componente, este modelo se describe a través de la ecuación (10).</w:t>
      </w:r>
    </w:p>
    <w:p w:rsidR="00872122" w:rsidRDefault="001560AE" w:rsidP="00872122">
      <w:pPr>
        <w:jc w:val="right"/>
        <w:rPr>
          <w:sz w:val="24"/>
          <w:szCs w:val="24"/>
        </w:rPr>
      </w:pPr>
      <m:oMath>
        <m:r>
          <w:rPr>
            <w:rFonts w:ascii="Cambria Math" w:hAnsi="Cambria Math"/>
          </w:rPr>
          <m:t>ln</m:t>
        </m:r>
        <m:f>
          <m:fPr>
            <m:ctrlPr>
              <w:rPr>
                <w:rFonts w:ascii="Cambria Math" w:hAnsi="Cambria Math"/>
                <w:i/>
              </w:rPr>
            </m:ctrlPr>
          </m:fPr>
          <m:num>
            <m:r>
              <w:rPr>
                <w:rFonts w:ascii="Cambria Math" w:hAnsi="Cambria Math"/>
              </w:rPr>
              <m:t>Q</m:t>
            </m:r>
          </m:num>
          <m:den>
            <m:r>
              <w:rPr>
                <w:rFonts w:ascii="Cambria Math" w:hAnsi="Cambria Math"/>
              </w:rPr>
              <m:t>1-Q</m:t>
            </m:r>
          </m:den>
        </m:f>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YN</m:t>
            </m:r>
          </m:sub>
        </m:sSub>
        <m:r>
          <w:rPr>
            <w:rFonts w:ascii="Cambria Math" w:hAnsi="Cambria Math"/>
          </w:rPr>
          <m:t>(τ-t)</m:t>
        </m:r>
      </m:oMath>
      <w:r w:rsidRPr="007F72F9">
        <w:rPr>
          <w:sz w:val="24"/>
          <w:szCs w:val="24"/>
        </w:rPr>
        <w:t xml:space="preserve">          </w:t>
      </w:r>
      <w:r w:rsidRPr="007F72F9">
        <w:t xml:space="preserve">               (11)</w:t>
      </w:r>
      <w:r w:rsidR="00872122">
        <w:rPr>
          <w:sz w:val="24"/>
          <w:szCs w:val="24"/>
        </w:rPr>
        <w:t xml:space="preserve">  </w:t>
      </w:r>
    </w:p>
    <w:p w:rsidR="001560AE" w:rsidRPr="004543D3" w:rsidRDefault="001560AE" w:rsidP="00872122">
      <w:pPr>
        <w:rPr>
          <w:sz w:val="24"/>
          <w:szCs w:val="24"/>
        </w:rPr>
      </w:pPr>
      <w:r w:rsidRPr="00E15F45">
        <w:rPr>
          <w:rFonts w:cs="Times New Roman"/>
          <w:szCs w:val="20"/>
        </w:rPr>
        <w:t xml:space="preserve"> En su forma lineal</w:t>
      </w:r>
    </w:p>
    <w:p w:rsidR="001560AE" w:rsidRPr="0056266E" w:rsidRDefault="001560AE" w:rsidP="001560AE">
      <w:pPr>
        <w:jc w:val="right"/>
      </w:pPr>
      <m:oMath>
        <m:r>
          <w:rPr>
            <w:rFonts w:ascii="Cambria Math" w:hAnsi="Cambria Math"/>
          </w:rPr>
          <m:t>ln</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0</m:t>
                    </m:r>
                  </m:sub>
                </m:sSub>
              </m:num>
              <m:den>
                <m:r>
                  <w:rPr>
                    <w:rFonts w:ascii="Cambria Math" w:hAnsi="Cambria Math"/>
                  </w:rPr>
                  <m:t>C</m:t>
                </m:r>
              </m:den>
            </m:f>
            <m:r>
              <w:rPr>
                <w:rFonts w:ascii="Cambria Math" w:hAnsi="Cambria Math"/>
              </w:rPr>
              <m:t>-1</m:t>
            </m:r>
          </m:e>
        </m:d>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YN</m:t>
            </m:r>
          </m:sub>
        </m:sSub>
        <m:r>
          <w:rPr>
            <w:rFonts w:ascii="Cambria Math" w:hAnsi="Cambria Math"/>
          </w:rPr>
          <m:t>(τ-t)</m:t>
        </m:r>
      </m:oMath>
      <w:r w:rsidRPr="0056266E">
        <w:rPr>
          <w:sz w:val="24"/>
          <w:szCs w:val="24"/>
        </w:rPr>
        <w:t xml:space="preserve"> </w:t>
      </w:r>
      <w:r>
        <w:rPr>
          <w:sz w:val="24"/>
          <w:szCs w:val="24"/>
        </w:rPr>
        <w:t xml:space="preserve">        </w:t>
      </w:r>
      <w:r w:rsidRPr="0056266E">
        <w:rPr>
          <w:sz w:val="24"/>
          <w:szCs w:val="24"/>
        </w:rPr>
        <w:t xml:space="preserve">    </w:t>
      </w:r>
      <w:r>
        <w:rPr>
          <w:sz w:val="24"/>
          <w:szCs w:val="24"/>
        </w:rPr>
        <w:t xml:space="preserve">     </w:t>
      </w:r>
      <w:r>
        <w:t>(12</w:t>
      </w:r>
      <w:r w:rsidRPr="0056266E">
        <w:t>)</w:t>
      </w:r>
    </w:p>
    <w:p w:rsidR="00872122" w:rsidRPr="00872122" w:rsidRDefault="00872122" w:rsidP="00872122">
      <w:pPr>
        <w:pStyle w:val="Prrafodelista"/>
        <w:numPr>
          <w:ilvl w:val="0"/>
          <w:numId w:val="8"/>
        </w:numPr>
        <w:tabs>
          <w:tab w:val="left" w:pos="6610"/>
        </w:tabs>
        <w:rPr>
          <w:rFonts w:cs="Times New Roman"/>
          <w:szCs w:val="20"/>
        </w:rPr>
      </w:pPr>
      <w:r w:rsidRPr="00872122">
        <w:rPr>
          <w:rFonts w:cs="Times New Roman"/>
          <w:szCs w:val="20"/>
        </w:rPr>
        <w:t>Modelo de dosis y respuesta</w:t>
      </w:r>
    </w:p>
    <w:p w:rsidR="00872122" w:rsidRPr="00872122" w:rsidRDefault="00872122" w:rsidP="00872122">
      <w:pPr>
        <w:ind w:firstLine="0"/>
      </w:pPr>
      <w:r w:rsidRPr="00872122">
        <w:t xml:space="preserve">     Este modelo minimiza el error de los resultados obtenidos al aplicar el modelo de Thomas, especialmente para curvas de ruptura en donde los tiempos en que se realizan los experimentos son muy largos o muy cortos </w:t>
      </w:r>
      <w:r w:rsidRPr="00872122">
        <w:fldChar w:fldCharType="begin"/>
      </w:r>
      <w:r w:rsidRPr="00872122">
        <w:instrText xml:space="preserve"> ADDIN EN.CITE &lt;EndNote&gt;&lt;Cite&gt;&lt;Author&gt;Vijayaraghavan&lt;/Author&gt;&lt;Year&gt;2008&lt;/Year&gt;&lt;RecNum&gt;11&lt;/RecNum&gt;&lt;DisplayText&gt;[12]&lt;/DisplayText&gt;&lt;record&gt;&lt;rec-number&gt;11&lt;/rec-number&gt;&lt;foreign-keys&gt;&lt;key app="EN" db-id="af55vdv5m25e9ve2er6xeed5fe2stf0fdwzw"&gt;11&lt;/key&gt;&lt;/foreign-keys&gt;&lt;ref-type name="Journal Article"&gt;17&lt;/ref-type&gt;&lt;contributors&gt;&lt;authors&gt;&lt;author&gt;K. Vijayaraghavan&lt;/author&gt;&lt;author&gt;Y. Yun &lt;/author&gt;&lt;/authors&gt;&lt;/contributors&gt;&lt;titles&gt;&lt;title&gt;Chemical modification of Corynebacterium glutamicum to improve methylene blue biosorption&lt;/title&gt;&lt;secondary-title&gt;Chemical Engineering Journal&lt;/secondary-title&gt;&lt;/titles&gt;&lt;periodical&gt;&lt;full-title&gt;Chemical Engineering Journal&lt;/full-title&gt;&lt;/periodical&gt;&lt;pages&gt;1-6&lt;/pages&gt;&lt;volume&gt;145&lt;/volume&gt;&lt;number&gt;1&lt;/number&gt;&lt;dates&gt;&lt;year&gt;2008&lt;/year&gt;&lt;/dates&gt;&lt;urls&gt;&lt;/urls&gt;&lt;/record&gt;&lt;/Cite&gt;&lt;/EndNote&gt;</w:instrText>
      </w:r>
      <w:r w:rsidRPr="00872122">
        <w:fldChar w:fldCharType="separate"/>
      </w:r>
      <w:r w:rsidRPr="00872122">
        <w:t>[</w:t>
      </w:r>
      <w:hyperlink w:anchor="_ENREF_12" w:tooltip="Vijayaraghavan, 2008 #11" w:history="1">
        <w:r w:rsidR="005E319C" w:rsidRPr="005E319C">
          <w:t>12</w:t>
        </w:r>
      </w:hyperlink>
      <w:r w:rsidRPr="00872122">
        <w:t>]</w:t>
      </w:r>
      <w:r w:rsidRPr="00872122">
        <w:fldChar w:fldCharType="end"/>
      </w:r>
      <w:r w:rsidRPr="00872122">
        <w:t>. El modelo se describe mediante la ecuación (12).</w:t>
      </w:r>
    </w:p>
    <w:p w:rsidR="00872122" w:rsidRPr="00872122" w:rsidRDefault="00B263E8" w:rsidP="008B0A20">
      <w:pPr>
        <w:ind w:firstLine="0"/>
        <w:jc w:val="right"/>
      </w:pPr>
      <m:oMath>
        <m:f>
          <m:fPr>
            <m:ctrlPr>
              <w:rPr>
                <w:rFonts w:ascii="Cambria Math" w:hAnsi="Cambria Math"/>
                <w:i/>
                <w:lang w:val="en-US"/>
              </w:rPr>
            </m:ctrlPr>
          </m:fPr>
          <m:num>
            <m:r>
              <w:rPr>
                <w:rFonts w:ascii="Cambria Math" w:hAnsi="Cambria Math"/>
                <w:lang w:val="en-US"/>
              </w:rPr>
              <m:t>C</m:t>
            </m:r>
          </m:num>
          <m:den>
            <m:sSub>
              <m:sSubPr>
                <m:ctrlPr>
                  <w:rPr>
                    <w:rFonts w:ascii="Cambria Math" w:hAnsi="Cambria Math"/>
                    <w:i/>
                    <w:lang w:val="en-US"/>
                  </w:rPr>
                </m:ctrlPr>
              </m:sSubPr>
              <m:e>
                <m:r>
                  <w:rPr>
                    <w:rFonts w:ascii="Cambria Math" w:hAnsi="Cambria Math"/>
                    <w:lang w:val="en-US"/>
                  </w:rPr>
                  <m:t>C</m:t>
                </m:r>
              </m:e>
              <m:sub>
                <m:r>
                  <w:rPr>
                    <w:rFonts w:ascii="Cambria Math" w:hAnsi="Cambria Math"/>
                  </w:rPr>
                  <m:t>0</m:t>
                </m:r>
              </m:sub>
            </m:sSub>
          </m:den>
        </m:f>
        <m:r>
          <w:rPr>
            <w:rFonts w:ascii="Cambria Math" w:hAnsi="Cambria Math"/>
          </w:rPr>
          <m:t>=1-</m:t>
        </m:r>
        <m:f>
          <m:fPr>
            <m:ctrlPr>
              <w:rPr>
                <w:rFonts w:ascii="Cambria Math" w:hAnsi="Cambria Math"/>
                <w:i/>
                <w:lang w:val="en-US"/>
              </w:rPr>
            </m:ctrlPr>
          </m:fPr>
          <m:num>
            <m:r>
              <w:rPr>
                <w:rFonts w:ascii="Cambria Math" w:hAnsi="Cambria Math"/>
              </w:rPr>
              <m:t>1</m:t>
            </m:r>
          </m:num>
          <m:den>
            <m:r>
              <w:rPr>
                <w:rFonts w:ascii="Cambria Math" w:hAnsi="Cambria Math"/>
              </w:rPr>
              <m:t>1+</m:t>
            </m:r>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ef</m:t>
                            </m:r>
                          </m:sub>
                        </m:sSub>
                      </m:num>
                      <m:den>
                        <m:r>
                          <w:rPr>
                            <w:rFonts w:ascii="Cambria Math" w:hAnsi="Cambria Math"/>
                            <w:lang w:val="en-US"/>
                          </w:rPr>
                          <m:t>b</m:t>
                        </m:r>
                      </m:den>
                    </m:f>
                  </m:e>
                </m:d>
              </m:e>
              <m:sup>
                <m:r>
                  <w:rPr>
                    <w:rFonts w:ascii="Cambria Math" w:hAnsi="Cambria Math"/>
                    <w:lang w:val="en-US"/>
                  </w:rPr>
                  <m:t>a</m:t>
                </m:r>
              </m:sup>
            </m:sSup>
          </m:den>
        </m:f>
      </m:oMath>
      <w:r w:rsidR="00872122" w:rsidRPr="00872122">
        <w:t xml:space="preserve">             </w:t>
      </w:r>
      <w:r w:rsidR="008B0A20">
        <w:t xml:space="preserve">     </w:t>
      </w:r>
      <w:r w:rsidR="00872122" w:rsidRPr="00872122">
        <w:t xml:space="preserve">             (13)</w:t>
      </w:r>
    </w:p>
    <w:p w:rsidR="00872122" w:rsidRPr="00872122" w:rsidRDefault="00872122" w:rsidP="00872122">
      <w:pPr>
        <w:ind w:firstLine="0"/>
      </w:pPr>
      <w:r w:rsidRPr="00872122">
        <w:t xml:space="preserve">    Alcanzado el 50 % del nivel de retención la anterior ecuación puede escribirse como:</w:t>
      </w:r>
    </w:p>
    <w:p w:rsidR="00872122" w:rsidRPr="00872122" w:rsidRDefault="00872122" w:rsidP="008B0A20">
      <w:pPr>
        <w:ind w:firstLine="0"/>
        <w:jc w:val="right"/>
      </w:pPr>
      <m:oMath>
        <m:r>
          <w:rPr>
            <w:rFonts w:ascii="Cambria Math" w:hAnsi="Cambria Math"/>
          </w:rPr>
          <w:lastRenderedPageBreak/>
          <m:t>0,5=1-</m:t>
        </m:r>
        <m:f>
          <m:fPr>
            <m:ctrlPr>
              <w:rPr>
                <w:rFonts w:ascii="Cambria Math" w:hAnsi="Cambria Math"/>
                <w:i/>
                <w:lang w:val="en-US"/>
              </w:rPr>
            </m:ctrlPr>
          </m:fPr>
          <m:num>
            <m:r>
              <w:rPr>
                <w:rFonts w:ascii="Cambria Math" w:hAnsi="Cambria Math"/>
              </w:rPr>
              <m:t>1</m:t>
            </m:r>
          </m:num>
          <m:den>
            <m:r>
              <w:rPr>
                <w:rFonts w:ascii="Cambria Math" w:hAnsi="Cambria Math"/>
              </w:rPr>
              <m:t>1+</m:t>
            </m:r>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ef</m:t>
                            </m:r>
                            <m:r>
                              <w:rPr>
                                <w:rFonts w:ascii="Cambria Math" w:hAnsi="Cambria Math"/>
                              </w:rPr>
                              <m:t>(50%)</m:t>
                            </m:r>
                          </m:sub>
                        </m:sSub>
                      </m:num>
                      <m:den>
                        <m:r>
                          <w:rPr>
                            <w:rFonts w:ascii="Cambria Math" w:hAnsi="Cambria Math"/>
                            <w:lang w:val="en-US"/>
                          </w:rPr>
                          <m:t>b</m:t>
                        </m:r>
                      </m:den>
                    </m:f>
                  </m:e>
                </m:d>
              </m:e>
              <m:sup>
                <m:r>
                  <w:rPr>
                    <w:rFonts w:ascii="Cambria Math" w:hAnsi="Cambria Math"/>
                    <w:lang w:val="en-US"/>
                  </w:rPr>
                  <m:t>a</m:t>
                </m:r>
              </m:sup>
            </m:sSup>
          </m:den>
        </m:f>
      </m:oMath>
      <w:r w:rsidRPr="00872122">
        <w:t xml:space="preserve">                         (14)</w:t>
      </w:r>
    </w:p>
    <w:p w:rsidR="0071574C" w:rsidRDefault="00872122" w:rsidP="0071574C">
      <w:pPr>
        <w:ind w:firstLine="0"/>
      </w:pPr>
      <w:r w:rsidRPr="00872122">
        <w:t xml:space="preserve">     Según el modelo de Thomas puede determinarse que </w:t>
      </w:r>
      <m:oMath>
        <m:sSub>
          <m:sSubPr>
            <m:ctrlPr>
              <w:rPr>
                <w:rFonts w:ascii="Cambria Math" w:hAnsi="Cambria Math"/>
                <w:lang w:val="en-US"/>
              </w:rPr>
            </m:ctrlPr>
          </m:sSubPr>
          <m:e>
            <m:r>
              <w:rPr>
                <w:rFonts w:ascii="Cambria Math" w:hAnsi="Cambria Math"/>
                <w:lang w:val="en-US"/>
              </w:rPr>
              <m:t>V</m:t>
            </m:r>
          </m:e>
          <m:sub>
            <m:r>
              <w:rPr>
                <w:rFonts w:ascii="Cambria Math" w:hAnsi="Cambria Math"/>
                <w:lang w:val="en-US"/>
              </w:rPr>
              <m:t>ef</m:t>
            </m:r>
            <m:d>
              <m:dPr>
                <m:ctrlPr>
                  <w:rPr>
                    <w:rFonts w:ascii="Cambria Math" w:hAnsi="Cambria Math"/>
                    <w:lang w:val="en-US"/>
                  </w:rPr>
                </m:ctrlPr>
              </m:dPr>
              <m:e>
                <m:r>
                  <m:rPr>
                    <m:sty m:val="p"/>
                  </m:rPr>
                  <w:rPr>
                    <w:rFonts w:ascii="Cambria Math" w:hAnsi="Cambria Math"/>
                  </w:rPr>
                  <m:t>50%</m:t>
                </m:r>
              </m:e>
            </m:d>
          </m:sub>
        </m:sSub>
        <m:r>
          <m:rPr>
            <m:sty m:val="p"/>
          </m:rPr>
          <w:rPr>
            <w:rFonts w:ascii="Cambria Math" w:hAnsi="Cambria Math"/>
          </w:rPr>
          <m:t>=</m:t>
        </m:r>
        <m:sSub>
          <m:sSubPr>
            <m:ctrlPr>
              <w:rPr>
                <w:rFonts w:ascii="Cambria Math" w:hAnsi="Cambria Math"/>
                <w:lang w:val="en-US"/>
              </w:rPr>
            </m:ctrlPr>
          </m:sSubPr>
          <m:e>
            <m:r>
              <w:rPr>
                <w:rFonts w:ascii="Cambria Math" w:hAnsi="Cambria Math"/>
                <w:lang w:val="en-US"/>
              </w:rPr>
              <m:t>q</m:t>
            </m:r>
          </m:e>
          <m:sub>
            <m:r>
              <w:rPr>
                <w:rFonts w:ascii="Cambria Math" w:hAnsi="Cambria Math"/>
                <w:lang w:val="en-US"/>
              </w:rPr>
              <m:t>om</m:t>
            </m:r>
          </m:sub>
        </m:sSub>
        <m:r>
          <m:rPr>
            <m:sty m:val="p"/>
          </m:rPr>
          <w:rPr>
            <w:rFonts w:ascii="Cambria Math" w:hAnsi="Cambria Math"/>
          </w:rPr>
          <m:t>/</m:t>
        </m:r>
        <m:sSub>
          <m:sSubPr>
            <m:ctrlPr>
              <w:rPr>
                <w:rFonts w:ascii="Cambria Math" w:hAnsi="Cambria Math"/>
                <w:lang w:val="en-US"/>
              </w:rPr>
            </m:ctrlPr>
          </m:sSubPr>
          <m:e>
            <m:r>
              <w:rPr>
                <w:rFonts w:ascii="Cambria Math" w:hAnsi="Cambria Math"/>
                <w:lang w:val="en-US"/>
              </w:rPr>
              <m:t>C</m:t>
            </m:r>
          </m:e>
          <m:sub>
            <m:r>
              <m:rPr>
                <m:sty m:val="p"/>
              </m:rPr>
              <w:rPr>
                <w:rFonts w:ascii="Cambria Math" w:hAnsi="Cambria Math"/>
              </w:rPr>
              <m:t>0</m:t>
            </m:r>
          </m:sub>
        </m:sSub>
      </m:oMath>
      <w:r w:rsidRPr="00872122">
        <w:t xml:space="preserve"> , por lo tanto el modelo de Dosis –</w:t>
      </w:r>
      <w:r w:rsidR="0071574C">
        <w:t>r</w:t>
      </w:r>
      <w:r w:rsidRPr="00872122">
        <w:t>espuesta seria representado así:</w:t>
      </w:r>
    </w:p>
    <w:p w:rsidR="00872122" w:rsidRPr="00872122" w:rsidRDefault="00872122" w:rsidP="0071574C">
      <w:pPr>
        <w:ind w:firstLine="0"/>
        <w:jc w:val="right"/>
      </w:pPr>
      <w:r w:rsidRPr="00872122">
        <w:br/>
      </w:r>
      <m:oMath>
        <m:f>
          <m:fPr>
            <m:ctrlPr>
              <w:rPr>
                <w:rFonts w:ascii="Cambria Math" w:hAnsi="Cambria Math"/>
                <w:i/>
                <w:lang w:val="en-US"/>
              </w:rPr>
            </m:ctrlPr>
          </m:fPr>
          <m:num>
            <m:r>
              <w:rPr>
                <w:rFonts w:ascii="Cambria Math" w:hAnsi="Cambria Math"/>
                <w:lang w:val="en-US"/>
              </w:rPr>
              <m:t>C</m:t>
            </m:r>
          </m:num>
          <m:den>
            <m:sSub>
              <m:sSubPr>
                <m:ctrlPr>
                  <w:rPr>
                    <w:rFonts w:ascii="Cambria Math" w:hAnsi="Cambria Math"/>
                    <w:i/>
                    <w:lang w:val="en-US"/>
                  </w:rPr>
                </m:ctrlPr>
              </m:sSubPr>
              <m:e>
                <m:r>
                  <w:rPr>
                    <w:rFonts w:ascii="Cambria Math" w:hAnsi="Cambria Math"/>
                    <w:lang w:val="en-US"/>
                  </w:rPr>
                  <m:t>C</m:t>
                </m:r>
              </m:e>
              <m:sub>
                <m:r>
                  <w:rPr>
                    <w:rFonts w:ascii="Cambria Math" w:hAnsi="Cambria Math"/>
                  </w:rPr>
                  <m:t>0</m:t>
                </m:r>
              </m:sub>
            </m:sSub>
          </m:den>
        </m:f>
        <m:r>
          <w:rPr>
            <w:rFonts w:ascii="Cambria Math" w:hAnsi="Cambria Math"/>
          </w:rPr>
          <m:t>=1-</m:t>
        </m:r>
        <m:f>
          <m:fPr>
            <m:ctrlPr>
              <w:rPr>
                <w:rFonts w:ascii="Cambria Math" w:hAnsi="Cambria Math"/>
                <w:i/>
                <w:lang w:val="en-US"/>
              </w:rPr>
            </m:ctrlPr>
          </m:fPr>
          <m:num>
            <m:r>
              <w:rPr>
                <w:rFonts w:ascii="Cambria Math" w:hAnsi="Cambria Math"/>
              </w:rPr>
              <m:t>1</m:t>
            </m:r>
          </m:num>
          <m:den>
            <m:r>
              <w:rPr>
                <w:rFonts w:ascii="Cambria Math" w:hAnsi="Cambria Math"/>
              </w:rPr>
              <m:t>1+</m:t>
            </m:r>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C</m:t>
                                </m:r>
                              </m:e>
                              <m:sub>
                                <m:r>
                                  <w:rPr>
                                    <w:rFonts w:ascii="Cambria Math" w:hAnsi="Cambria Math"/>
                                  </w:rPr>
                                  <m:t>0</m:t>
                                </m:r>
                              </m:sub>
                            </m:sSub>
                            <m:r>
                              <w:rPr>
                                <w:rFonts w:ascii="Cambria Math" w:hAnsi="Cambria Math"/>
                                <w:lang w:val="en-US"/>
                              </w:rPr>
                              <m:t>V</m:t>
                            </m:r>
                          </m:e>
                          <m:sub>
                            <m:r>
                              <w:rPr>
                                <w:rFonts w:ascii="Cambria Math" w:hAnsi="Cambria Math"/>
                                <w:lang w:val="en-US"/>
                              </w:rPr>
                              <m:t>ef</m:t>
                            </m:r>
                          </m:sub>
                        </m:sSub>
                      </m:num>
                      <m:den>
                        <m:sSub>
                          <m:sSubPr>
                            <m:ctrlPr>
                              <w:rPr>
                                <w:rFonts w:ascii="Cambria Math" w:hAnsi="Cambria Math"/>
                                <w:i/>
                                <w:lang w:val="en-US"/>
                              </w:rPr>
                            </m:ctrlPr>
                          </m:sSubPr>
                          <m:e>
                            <m:r>
                              <w:rPr>
                                <w:rFonts w:ascii="Cambria Math" w:hAnsi="Cambria Math"/>
                                <w:lang w:val="en-US"/>
                              </w:rPr>
                              <m:t>q</m:t>
                            </m:r>
                          </m:e>
                          <m:sub>
                            <m:r>
                              <w:rPr>
                                <w:rFonts w:ascii="Cambria Math" w:hAnsi="Cambria Math"/>
                              </w:rPr>
                              <m:t>0</m:t>
                            </m:r>
                            <m:r>
                              <w:rPr>
                                <w:rFonts w:ascii="Cambria Math" w:hAnsi="Cambria Math"/>
                                <w:lang w:val="en-US"/>
                              </w:rPr>
                              <m:t>m</m:t>
                            </m:r>
                          </m:sub>
                        </m:sSub>
                      </m:den>
                    </m:f>
                  </m:e>
                </m:d>
              </m:e>
              <m:sup>
                <m:r>
                  <w:rPr>
                    <w:rFonts w:ascii="Cambria Math" w:hAnsi="Cambria Math"/>
                    <w:lang w:val="en-US"/>
                  </w:rPr>
                  <m:t>a</m:t>
                </m:r>
              </m:sup>
            </m:sSup>
          </m:den>
        </m:f>
      </m:oMath>
      <w:r w:rsidRPr="00872122">
        <w:t xml:space="preserve">                      (15)                                                              </w:t>
      </w:r>
    </w:p>
    <w:p w:rsidR="00872122" w:rsidRPr="00872122" w:rsidRDefault="00872122" w:rsidP="00872122">
      <w:pPr>
        <w:ind w:firstLine="0"/>
      </w:pPr>
      <w:r w:rsidRPr="00872122">
        <w:t xml:space="preserve">     De forma lineal tenemos:</w:t>
      </w:r>
    </w:p>
    <w:p w:rsidR="00872122" w:rsidRPr="00872122" w:rsidRDefault="00872122" w:rsidP="0071574C">
      <w:pPr>
        <w:ind w:firstLine="0"/>
        <w:jc w:val="right"/>
      </w:pPr>
      <m:oMath>
        <m:r>
          <w:rPr>
            <w:rFonts w:ascii="Cambria Math" w:hAnsi="Cambria Math"/>
            <w:lang w:val="en-US"/>
          </w:rPr>
          <m:t>ln</m:t>
        </m:r>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C</m:t>
                </m:r>
              </m:num>
              <m:den>
                <m:sSub>
                  <m:sSubPr>
                    <m:ctrlPr>
                      <w:rPr>
                        <w:rFonts w:ascii="Cambria Math" w:hAnsi="Cambria Math"/>
                        <w:i/>
                        <w:lang w:val="en-US"/>
                      </w:rPr>
                    </m:ctrlPr>
                  </m:sSubPr>
                  <m:e>
                    <m:r>
                      <w:rPr>
                        <w:rFonts w:ascii="Cambria Math" w:hAnsi="Cambria Math"/>
                        <w:lang w:val="en-US"/>
                      </w:rPr>
                      <m:t>C</m:t>
                    </m:r>
                  </m:e>
                  <m:sub>
                    <m:r>
                      <w:rPr>
                        <w:rFonts w:ascii="Cambria Math" w:hAnsi="Cambria Math"/>
                      </w:rPr>
                      <m:t>0</m:t>
                    </m:r>
                  </m:sub>
                </m:sSub>
                <m:r>
                  <w:rPr>
                    <w:rFonts w:ascii="Cambria Math" w:hAnsi="Cambria Math"/>
                  </w:rPr>
                  <m:t>-</m:t>
                </m:r>
                <m:r>
                  <w:rPr>
                    <w:rFonts w:ascii="Cambria Math" w:hAnsi="Cambria Math"/>
                    <w:lang w:val="en-US"/>
                  </w:rPr>
                  <m:t>C</m:t>
                </m:r>
              </m:den>
            </m:f>
          </m:e>
        </m:d>
        <m:r>
          <w:rPr>
            <w:rFonts w:ascii="Cambria Math" w:hAnsi="Cambria Math"/>
          </w:rPr>
          <m:t>=</m:t>
        </m:r>
        <m:r>
          <w:rPr>
            <w:rFonts w:ascii="Cambria Math" w:hAnsi="Cambria Math"/>
            <w:lang w:val="en-US"/>
          </w:rPr>
          <m:t>aln</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ef</m:t>
            </m:r>
          </m:sub>
        </m:sSub>
        <m:r>
          <w:rPr>
            <w:rFonts w:ascii="Cambria Math" w:hAnsi="Cambria Math"/>
          </w:rPr>
          <m:t>-</m:t>
        </m:r>
        <m:r>
          <w:rPr>
            <w:rFonts w:ascii="Cambria Math" w:hAnsi="Cambria Math"/>
            <w:lang w:val="en-US"/>
          </w:rPr>
          <m:t>aln</m:t>
        </m:r>
        <m:d>
          <m:dPr>
            <m:ctrlPr>
              <w:rPr>
                <w:rFonts w:ascii="Cambria Math" w:hAnsi="Cambria Math"/>
                <w:i/>
                <w:lang w:val="en-US"/>
              </w:rPr>
            </m:ctrlPr>
          </m:dPr>
          <m:e>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q</m:t>
                    </m:r>
                  </m:e>
                  <m:sub>
                    <m:r>
                      <w:rPr>
                        <w:rFonts w:ascii="Cambria Math" w:hAnsi="Cambria Math"/>
                      </w:rPr>
                      <m:t>0</m:t>
                    </m:r>
                    <m:r>
                      <w:rPr>
                        <w:rFonts w:ascii="Cambria Math" w:hAnsi="Cambria Math"/>
                        <w:lang w:val="en-US"/>
                      </w:rPr>
                      <m:t>m</m:t>
                    </m:r>
                  </m:sub>
                </m:sSub>
              </m:num>
              <m:den>
                <m:sSub>
                  <m:sSubPr>
                    <m:ctrlPr>
                      <w:rPr>
                        <w:rFonts w:ascii="Cambria Math" w:hAnsi="Cambria Math"/>
                        <w:i/>
                        <w:lang w:val="en-US"/>
                      </w:rPr>
                    </m:ctrlPr>
                  </m:sSubPr>
                  <m:e>
                    <m:r>
                      <w:rPr>
                        <w:rFonts w:ascii="Cambria Math" w:hAnsi="Cambria Math"/>
                        <w:lang w:val="en-US"/>
                      </w:rPr>
                      <m:t>C</m:t>
                    </m:r>
                  </m:e>
                  <m:sub>
                    <m:r>
                      <w:rPr>
                        <w:rFonts w:ascii="Cambria Math" w:hAnsi="Cambria Math"/>
                      </w:rPr>
                      <m:t>0</m:t>
                    </m:r>
                  </m:sub>
                </m:sSub>
              </m:den>
            </m:f>
          </m:e>
        </m:d>
      </m:oMath>
      <w:r w:rsidRPr="00872122">
        <w:t xml:space="preserve">              (16)                                                   </w:t>
      </w:r>
    </w:p>
    <w:p w:rsidR="00872122" w:rsidRDefault="00872122" w:rsidP="00872122">
      <w:pPr>
        <w:ind w:firstLine="0"/>
        <w:rPr>
          <w:lang w:val="es-ES"/>
        </w:rPr>
      </w:pPr>
      <w:r w:rsidRPr="00872122">
        <w:t xml:space="preserve">     Los valores de </w:t>
      </w:r>
      <m:oMath>
        <m:r>
          <w:rPr>
            <w:rFonts w:ascii="Cambria Math" w:hAnsi="Cambria Math"/>
            <w:lang w:val="en-US"/>
          </w:rPr>
          <m:t>a</m:t>
        </m:r>
        <m:r>
          <m:rPr>
            <m:sty m:val="p"/>
          </m:rPr>
          <w:rPr>
            <w:rFonts w:ascii="Cambria Math" w:hAnsi="Cambria Math"/>
          </w:rPr>
          <m:t xml:space="preserve"> </m:t>
        </m:r>
      </m:oMath>
      <w:r w:rsidRPr="00872122">
        <w:t xml:space="preserve">y </w:t>
      </w:r>
      <m:oMath>
        <m:sSub>
          <m:sSubPr>
            <m:ctrlPr>
              <w:rPr>
                <w:rFonts w:ascii="Cambria Math" w:hAnsi="Cambria Math"/>
                <w:lang w:val="en-US"/>
              </w:rPr>
            </m:ctrlPr>
          </m:sSubPr>
          <m:e>
            <m:r>
              <w:rPr>
                <w:rFonts w:ascii="Cambria Math" w:hAnsi="Cambria Math"/>
                <w:lang w:val="en-US"/>
              </w:rPr>
              <m:t>q</m:t>
            </m:r>
          </m:e>
          <m:sub>
            <m:r>
              <m:rPr>
                <m:sty m:val="p"/>
              </m:rPr>
              <w:rPr>
                <w:rFonts w:ascii="Cambria Math" w:hAnsi="Cambria Math"/>
              </w:rPr>
              <m:t>0</m:t>
            </m:r>
          </m:sub>
        </m:sSub>
      </m:oMath>
      <w:r w:rsidRPr="00872122">
        <w:t xml:space="preserve"> a partir de la representación de ln(C/C</w:t>
      </w:r>
      <w:r w:rsidRPr="00872122">
        <w:rPr>
          <w:vertAlign w:val="subscript"/>
        </w:rPr>
        <w:t>0</w:t>
      </w:r>
      <w:r w:rsidRPr="00872122">
        <w:t>-C) frente al volumen o al tiempo, a partir de la pendiente y la ordenada al origen.</w:t>
      </w:r>
      <w:r w:rsidRPr="00872122">
        <w:rPr>
          <w:lang w:val="es-ES"/>
        </w:rPr>
        <w:t xml:space="preserve"> </w:t>
      </w:r>
      <w:r w:rsidRPr="00872122">
        <w:rPr>
          <w:lang w:val="es-ES"/>
        </w:rPr>
        <w:tab/>
      </w:r>
    </w:p>
    <w:p w:rsidR="00606735" w:rsidRPr="00140AD0" w:rsidRDefault="00606735" w:rsidP="00606735">
      <w:pPr>
        <w:pStyle w:val="Prrafodelista"/>
        <w:tabs>
          <w:tab w:val="left" w:pos="6610"/>
        </w:tabs>
        <w:ind w:left="1080" w:firstLine="0"/>
        <w:jc w:val="left"/>
        <w:rPr>
          <w:rFonts w:cs="Times New Roman"/>
          <w:b/>
          <w:szCs w:val="20"/>
        </w:rPr>
      </w:pPr>
    </w:p>
    <w:p w:rsidR="00606735" w:rsidRDefault="00606735" w:rsidP="00606735">
      <w:pPr>
        <w:pStyle w:val="Prrafodelista"/>
        <w:numPr>
          <w:ilvl w:val="0"/>
          <w:numId w:val="3"/>
        </w:numPr>
        <w:tabs>
          <w:tab w:val="left" w:pos="6610"/>
        </w:tabs>
        <w:jc w:val="center"/>
        <w:rPr>
          <w:rFonts w:cs="Times New Roman"/>
          <w:b/>
          <w:szCs w:val="20"/>
        </w:rPr>
      </w:pPr>
      <w:r>
        <w:rPr>
          <w:rFonts w:cs="Times New Roman"/>
          <w:b/>
          <w:szCs w:val="20"/>
        </w:rPr>
        <w:t>RESULTADOS Y DISCUSIÓN</w:t>
      </w:r>
    </w:p>
    <w:p w:rsidR="00606735" w:rsidRDefault="00606735" w:rsidP="00606735">
      <w:pPr>
        <w:pStyle w:val="Prrafodelista"/>
        <w:tabs>
          <w:tab w:val="left" w:pos="6610"/>
        </w:tabs>
        <w:ind w:left="1080" w:firstLine="0"/>
        <w:rPr>
          <w:rFonts w:cs="Times New Roman"/>
          <w:b/>
          <w:szCs w:val="20"/>
        </w:rPr>
      </w:pPr>
    </w:p>
    <w:p w:rsidR="0068292A" w:rsidRDefault="00606735" w:rsidP="004C59B9">
      <w:pPr>
        <w:pStyle w:val="Prrafodelista"/>
        <w:numPr>
          <w:ilvl w:val="0"/>
          <w:numId w:val="12"/>
        </w:numPr>
        <w:rPr>
          <w:rFonts w:cs="Times New Roman"/>
          <w:b/>
          <w:i/>
        </w:rPr>
      </w:pPr>
      <w:r>
        <w:rPr>
          <w:rFonts w:cs="Times New Roman"/>
          <w:b/>
          <w:i/>
        </w:rPr>
        <w:t xml:space="preserve">Caracterización del </w:t>
      </w:r>
      <w:r w:rsidR="0068292A">
        <w:rPr>
          <w:rFonts w:cs="Times New Roman"/>
          <w:b/>
          <w:i/>
        </w:rPr>
        <w:t>ads</w:t>
      </w:r>
      <w:r>
        <w:rPr>
          <w:rFonts w:cs="Times New Roman"/>
          <w:b/>
          <w:i/>
        </w:rPr>
        <w:t xml:space="preserve">orbente </w:t>
      </w:r>
    </w:p>
    <w:p w:rsidR="00E201AD" w:rsidRDefault="0068292A" w:rsidP="0068292A">
      <w:r w:rsidRPr="000B06B0">
        <w:t xml:space="preserve">El adsorbente objeto de estudio consistió en cáscara de yuca que presenta una pequeña fracción de almidón como resultado inherente del proceso de selección y limpieza, con un diámetro de partícula seleccionado por tamizado que oscila en un rango de 250-500 </w:t>
      </w:r>
      <w:proofErr w:type="spellStart"/>
      <w:r w:rsidRPr="000B06B0">
        <w:t>μm</w:t>
      </w:r>
      <w:proofErr w:type="spellEnd"/>
      <w:r w:rsidRPr="000B06B0">
        <w:t xml:space="preserve">. </w:t>
      </w:r>
      <w:r>
        <w:t xml:space="preserve">Se realizaron </w:t>
      </w:r>
      <w:r w:rsidRPr="00812E71">
        <w:t>diferentes mediciones del pH de la cáscara de yuca que arrojaron un promedio de 4.5, identificando al polvo usado como un biosorbente ácido. Este pH también puede ser atribuido al lavado ácido al que e</w:t>
      </w:r>
      <w:r>
        <w:t xml:space="preserve">s sometido en el pretratamiento </w:t>
      </w:r>
      <w:r>
        <w:fldChar w:fldCharType="begin"/>
      </w:r>
      <w:r>
        <w:instrText xml:space="preserve"> ADDIN EN.CITE &lt;EndNote&gt;&lt;Cite&gt;&lt;Author&gt;Lopez&lt;/Author&gt;&lt;Year&gt;2013&lt;/Year&gt;&lt;RecNum&gt;12&lt;/RecNum&gt;&lt;DisplayText&gt;[13]&lt;/DisplayText&gt;&lt;record&gt;&lt;rec-number&gt;12&lt;/rec-number&gt;&lt;foreign-keys&gt;&lt;key app="EN" db-id="af55vdv5m25e9ve2er6xeed5fe2stf0fdwzw"&gt;12&lt;/key&gt;&lt;/foreign-keys&gt;&lt;ref-type name="Journal Article"&gt;17&lt;/ref-type&gt;&lt;contributors&gt;&lt;authors&gt;&lt;author&gt;L. Lopez&lt;/author&gt;&lt;author&gt;A. Acosta&lt;/author&gt;&lt;author&gt;R. Gelves&lt;/author&gt;&lt;/authors&gt;&lt;/contributors&gt;&lt;titles&gt;&lt;title&gt;Evaluación de pretratamientos químicos para la hidrólisis enzimática de residuos lignocelulósicos de yuca (Manihot esculenta Crantz)&lt;/title&gt;&lt;secondary-title&gt;Rev. Fac. Ing. Univ. Antioquia&lt;/secondary-title&gt;&lt;/titles&gt;&lt;periodical&gt;&lt;full-title&gt;Rev. Fac. Ing. Univ. Antioquia&lt;/full-title&gt;&lt;/periodical&gt;&lt;pages&gt;4&lt;/pages&gt;&lt;volume&gt;69&lt;/volume&gt;&lt;dates&gt;&lt;year&gt;2013&lt;/year&gt;&lt;/dates&gt;&lt;urls&gt;&lt;/urls&gt;&lt;/record&gt;&lt;/Cite&gt;&lt;/EndNote&gt;</w:instrText>
      </w:r>
      <w:r>
        <w:fldChar w:fldCharType="separate"/>
      </w:r>
      <w:r>
        <w:rPr>
          <w:noProof/>
        </w:rPr>
        <w:t>[</w:t>
      </w:r>
      <w:hyperlink w:anchor="_ENREF_13" w:tooltip="Lopez, 2013 #12" w:history="1">
        <w:r w:rsidR="005E319C">
          <w:rPr>
            <w:noProof/>
          </w:rPr>
          <w:t>13</w:t>
        </w:r>
      </w:hyperlink>
      <w:r>
        <w:rPr>
          <w:noProof/>
        </w:rPr>
        <w:t>]</w:t>
      </w:r>
      <w:r>
        <w:fldChar w:fldCharType="end"/>
      </w:r>
      <w:r>
        <w:t xml:space="preserve">. </w:t>
      </w:r>
    </w:p>
    <w:p w:rsidR="0068292A" w:rsidRDefault="0068292A" w:rsidP="0068292A">
      <w:r>
        <w:t xml:space="preserve">Mediante el procedimiento descrito en el apartado </w:t>
      </w:r>
      <w:r w:rsidRPr="00E201AD">
        <w:t>II</w:t>
      </w:r>
      <w:r w:rsidRPr="00BD2880">
        <w:rPr>
          <w:i/>
        </w:rPr>
        <w:t>.</w:t>
      </w:r>
      <w:r>
        <w:rPr>
          <w:i/>
        </w:rPr>
        <w:t xml:space="preserve"> </w:t>
      </w:r>
      <w:r w:rsidRPr="00BD2880">
        <w:rPr>
          <w:i/>
        </w:rPr>
        <w:t>F</w:t>
      </w:r>
      <w:r>
        <w:rPr>
          <w:i/>
        </w:rPr>
        <w:t xml:space="preserve"> </w:t>
      </w:r>
      <w:r>
        <w:t>se obtuvo un porcentaje de humedad promedio de 10.76%.</w:t>
      </w:r>
      <w:r w:rsidRPr="000B06B0">
        <w:rPr>
          <w:rFonts w:ascii="Arial" w:hAnsi="Arial" w:cs="Arial"/>
          <w:sz w:val="24"/>
          <w:szCs w:val="24"/>
        </w:rPr>
        <w:t xml:space="preserve"> </w:t>
      </w:r>
      <w:r w:rsidRPr="000B06B0">
        <w:t xml:space="preserve">Partiendo de un volumen de cáscara de yuca de 12,5 ml se llenó hasta el tope de volumen de cáscara de yuca con 7,4 ml de agua </w:t>
      </w:r>
      <w:r>
        <w:t xml:space="preserve">y usando la ecuación (1) se obtuvo una porosidad de 0.592 o 59.2 %. </w:t>
      </w:r>
      <w:r w:rsidRPr="00813257">
        <w:t xml:space="preserve">Luego se halló la densidad con la conocida relación masa-volumen. La densidad promedió fue de </w:t>
      </w:r>
      <m:oMath>
        <m:sSub>
          <m:sSubPr>
            <m:ctrlPr>
              <w:rPr>
                <w:rFonts w:ascii="Cambria Math" w:hAnsi="Cambria Math"/>
                <w:i/>
              </w:rPr>
            </m:ctrlPr>
          </m:sSubPr>
          <m:e>
            <m:r>
              <w:rPr>
                <w:rFonts w:ascii="Cambria Math" w:hAnsi="Cambria Math"/>
              </w:rPr>
              <m:t>ρ</m:t>
            </m:r>
          </m:e>
          <m:sub>
            <m:r>
              <w:rPr>
                <w:rFonts w:ascii="Cambria Math" w:hAnsi="Cambria Math"/>
              </w:rPr>
              <m:t>prom</m:t>
            </m:r>
          </m:sub>
        </m:sSub>
      </m:oMath>
      <w:r>
        <w:t>=0.41 g/ml</w:t>
      </w:r>
      <w:r w:rsidRPr="00813257">
        <w:t xml:space="preserve">. Este valor está de acuerdo con los resultados reportados por P. </w:t>
      </w:r>
      <w:proofErr w:type="spellStart"/>
      <w:r w:rsidRPr="00813257">
        <w:t>Wilaipon</w:t>
      </w:r>
      <w:proofErr w:type="spellEnd"/>
      <w:r w:rsidRPr="00813257">
        <w:t>, según el cual la densidad de la cáscara osc</w:t>
      </w:r>
      <w:r>
        <w:t xml:space="preserve">ila en un rango de 0.40-0.77g/ml </w:t>
      </w:r>
      <w:r>
        <w:fldChar w:fldCharType="begin"/>
      </w:r>
      <w:r>
        <w:instrText xml:space="preserve"> ADDIN EN.CITE &lt;EndNote&gt;&lt;Cite&gt;&lt;Author&gt;Wilaipon&lt;/Author&gt;&lt;Year&gt;2010&lt;/Year&gt;&lt;RecNum&gt;14&lt;/RecNum&gt;&lt;DisplayText&gt;[14]&lt;/DisplayText&gt;&lt;record&gt;&lt;rec-number&gt;14&lt;/rec-number&gt;&lt;foreign-keys&gt;&lt;key app="EN" db-id="af55vdv5m25e9ve2er6xeed5fe2stf0fdwzw"&gt;14&lt;/key&gt;&lt;/foreign-keys&gt;&lt;ref-type name="Journal Article"&gt;17&lt;/ref-type&gt;&lt;contributors&gt;&lt;authors&gt;&lt;author&gt;P. Wilaipon &lt;/author&gt;&lt;/authors&gt;&lt;/contributors&gt;&lt;titles&gt;&lt;title&gt;Density Equation of Cassava-Stalk Briquettes Under Moderate Die-Pressure&lt;/title&gt;&lt;secondary-title&gt;American Journal of Applied Sciences&lt;/secondary-title&gt;&lt;/titles&gt;&lt;periodical&gt;&lt;full-title&gt;American Journal of Applied Sciences&lt;/full-title&gt;&lt;/periodical&gt;&lt;pages&gt;698-701&lt;/pages&gt;&lt;volume&gt;7(5)&lt;/volume&gt;&lt;dates&gt;&lt;year&gt;2010&lt;/year&gt;&lt;/dates&gt;&lt;urls&gt;&lt;/urls&gt;&lt;/record&gt;&lt;/Cite&gt;&lt;/EndNote&gt;</w:instrText>
      </w:r>
      <w:r>
        <w:fldChar w:fldCharType="separate"/>
      </w:r>
      <w:r>
        <w:rPr>
          <w:noProof/>
        </w:rPr>
        <w:t>[</w:t>
      </w:r>
      <w:hyperlink w:anchor="_ENREF_14" w:tooltip="Wilaipon, 2010 #14" w:history="1">
        <w:r w:rsidR="005E319C">
          <w:rPr>
            <w:noProof/>
          </w:rPr>
          <w:t>14</w:t>
        </w:r>
      </w:hyperlink>
      <w:r>
        <w:rPr>
          <w:noProof/>
        </w:rPr>
        <w:t>]</w:t>
      </w:r>
      <w:r>
        <w:fldChar w:fldCharType="end"/>
      </w:r>
      <w:r>
        <w:t>.</w:t>
      </w:r>
    </w:p>
    <w:p w:rsidR="00617AA0" w:rsidRDefault="0068292A" w:rsidP="00220468">
      <w:pPr>
        <w:rPr>
          <w:lang w:val="es-US"/>
        </w:rPr>
      </w:pPr>
      <w:r>
        <w:rPr>
          <w:lang w:val="es-US"/>
        </w:rPr>
        <w:t>En la Fig.</w:t>
      </w:r>
      <w:r w:rsidRPr="00813257">
        <w:rPr>
          <w:lang w:val="es-US"/>
        </w:rPr>
        <w:t xml:space="preserve"> </w:t>
      </w:r>
      <w:r>
        <w:rPr>
          <w:lang w:val="es-US"/>
        </w:rPr>
        <w:t>2 se muestran los espectros FT</w:t>
      </w:r>
      <w:r w:rsidRPr="00813257">
        <w:rPr>
          <w:lang w:val="es-US"/>
        </w:rPr>
        <w:t>IR de la cáscara de</w:t>
      </w:r>
      <w:r>
        <w:rPr>
          <w:lang w:val="es-US"/>
        </w:rPr>
        <w:t xml:space="preserve"> yuca antes y después de tener </w:t>
      </w:r>
      <w:r w:rsidRPr="00813257">
        <w:rPr>
          <w:lang w:val="es-US"/>
        </w:rPr>
        <w:t>contacto con concentraciones previamente seleccionadas en disolución de cromo total a v</w:t>
      </w:r>
      <w:r>
        <w:rPr>
          <w:lang w:val="es-US"/>
        </w:rPr>
        <w:t>arias concentraciones</w:t>
      </w:r>
      <w:r w:rsidRPr="00813257">
        <w:rPr>
          <w:lang w:val="es-US"/>
        </w:rPr>
        <w:t xml:space="preserve">, </w:t>
      </w:r>
      <w:r>
        <w:rPr>
          <w:lang w:val="es-US"/>
        </w:rPr>
        <w:t xml:space="preserve">a saber, </w:t>
      </w:r>
      <w:r w:rsidRPr="00813257">
        <w:rPr>
          <w:lang w:val="es-US"/>
        </w:rPr>
        <w:t>15 ppm (espectro naranja), 30 ppm (espectro amari</w:t>
      </w:r>
      <w:r>
        <w:rPr>
          <w:lang w:val="es-US"/>
        </w:rPr>
        <w:t>llo), 40 ppm (espectro violeta)</w:t>
      </w:r>
      <w:r w:rsidRPr="00813257">
        <w:rPr>
          <w:lang w:val="es-US"/>
        </w:rPr>
        <w:t>, 50 ppm (espectro verde) y sin cromo (espectro azul); al sobreponer todos los espectros en un mismo grafico se encontró variedad de grupos funcionales dentro de los cuales destacan l</w:t>
      </w:r>
      <w:r>
        <w:rPr>
          <w:lang w:val="es-US"/>
        </w:rPr>
        <w:t>os alcoholes, esteres, fenoles</w:t>
      </w:r>
      <w:r w:rsidRPr="00813257">
        <w:rPr>
          <w:lang w:val="es-US"/>
        </w:rPr>
        <w:t>,</w:t>
      </w:r>
      <w:r>
        <w:rPr>
          <w:lang w:val="es-US"/>
        </w:rPr>
        <w:t xml:space="preserve"> </w:t>
      </w:r>
      <w:r w:rsidRPr="00813257">
        <w:rPr>
          <w:lang w:val="es-US"/>
        </w:rPr>
        <w:t>ácidos carboxílicos y otros compuestos aromáticos</w:t>
      </w:r>
      <w:r>
        <w:rPr>
          <w:lang w:val="es-US"/>
        </w:rPr>
        <w:t>,</w:t>
      </w:r>
      <w:r w:rsidRPr="00813257">
        <w:rPr>
          <w:lang w:val="es-US"/>
        </w:rPr>
        <w:t xml:space="preserve">  esencialmente  an</w:t>
      </w:r>
      <w:r>
        <w:rPr>
          <w:lang w:val="es-US"/>
        </w:rPr>
        <w:t xml:space="preserve">illos bencénicos. </w:t>
      </w:r>
    </w:p>
    <w:p w:rsidR="00E83C9A" w:rsidRDefault="00E83C9A" w:rsidP="00220468">
      <w:pPr>
        <w:rPr>
          <w:lang w:val="es-US"/>
        </w:rPr>
      </w:pPr>
      <w:r w:rsidRPr="00070992">
        <w:rPr>
          <w:rFonts w:ascii="Arial" w:hAnsi="Arial" w:cs="Arial"/>
          <w:noProof/>
          <w:sz w:val="24"/>
          <w:szCs w:val="24"/>
          <w:lang w:eastAsia="es-CO"/>
        </w:rPr>
        <w:lastRenderedPageBreak/>
        <w:drawing>
          <wp:inline distT="0" distB="0" distL="0" distR="0" wp14:anchorId="46349FF8" wp14:editId="6BE9D2D8">
            <wp:extent cx="2925445" cy="1472294"/>
            <wp:effectExtent l="0" t="0" r="825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25445" cy="1472294"/>
                    </a:xfrm>
                    <a:prstGeom prst="rect">
                      <a:avLst/>
                    </a:prstGeom>
                    <a:noFill/>
                    <a:ln>
                      <a:noFill/>
                    </a:ln>
                  </pic:spPr>
                </pic:pic>
              </a:graphicData>
            </a:graphic>
          </wp:inline>
        </w:drawing>
      </w:r>
    </w:p>
    <w:p w:rsidR="00E83C9A" w:rsidRPr="00E83C9A" w:rsidRDefault="00E83C9A" w:rsidP="00E83C9A">
      <w:pPr>
        <w:rPr>
          <w:rFonts w:cs="Times New Roman"/>
          <w:b/>
          <w:bCs/>
          <w:sz w:val="16"/>
          <w:szCs w:val="18"/>
        </w:rPr>
      </w:pPr>
      <w:r w:rsidRPr="00E83C9A">
        <w:rPr>
          <w:rFonts w:cs="Times New Roman"/>
          <w:b/>
          <w:bCs/>
          <w:sz w:val="16"/>
          <w:szCs w:val="18"/>
        </w:rPr>
        <w:t>Fig.2. Espectroscopia Infrarroja con Transformada de Fourier para muestras de cáscara de yuca (espectro azul), yuca + 15 ppm de Cr (espectro naranja), yuca + 30 ppm de Cr (espectro amarillo), yuca + 40 ppm de Cr (espectro violeta) y yuca + 50 ppm de Cr (espectro verde).</w:t>
      </w:r>
    </w:p>
    <w:p w:rsidR="00220468" w:rsidRDefault="00617AA0" w:rsidP="00220468">
      <w:pPr>
        <w:rPr>
          <w:rFonts w:ascii="Arial" w:hAnsi="Arial" w:cs="Arial"/>
          <w:sz w:val="24"/>
          <w:szCs w:val="24"/>
        </w:rPr>
      </w:pPr>
      <w:r>
        <w:rPr>
          <w:lang w:val="es-US"/>
        </w:rPr>
        <w:t>En la Tabla 2</w:t>
      </w:r>
      <w:r w:rsidR="0068292A">
        <w:rPr>
          <w:lang w:val="es-US"/>
        </w:rPr>
        <w:t xml:space="preserve"> </w:t>
      </w:r>
      <w:r w:rsidR="0068292A" w:rsidRPr="00813257">
        <w:rPr>
          <w:lang w:val="es-US"/>
        </w:rPr>
        <w:t>se muestra u</w:t>
      </w:r>
      <w:r w:rsidR="0068292A">
        <w:rPr>
          <w:lang w:val="es-US"/>
        </w:rPr>
        <w:t>n resumen de grupos funcionales. P</w:t>
      </w:r>
      <w:r w:rsidR="0068292A" w:rsidRPr="00813257">
        <w:rPr>
          <w:lang w:val="es-US"/>
        </w:rPr>
        <w:t xml:space="preserve">ara el caso de los sobretonos encontrados en la sección 1 muestra un cambio en los picos obtenidos que al inicio era de 3410 y luego de pasar las disolución de cromo se tuvieron picos de 3386, 3382, 3390, 3399; este cambio puede atribuirse a la concentración de iones de Cr dentro de la disolución de </w:t>
      </w:r>
      <w:r w:rsidR="0068292A" w:rsidRPr="00813257">
        <w:t>K</w:t>
      </w:r>
      <w:r w:rsidR="0068292A" w:rsidRPr="00813257">
        <w:rPr>
          <w:vertAlign w:val="subscript"/>
        </w:rPr>
        <w:t>2</w:t>
      </w:r>
      <w:r w:rsidR="0068292A" w:rsidRPr="00813257">
        <w:t>Cr</w:t>
      </w:r>
      <w:r w:rsidR="0068292A" w:rsidRPr="00813257">
        <w:rPr>
          <w:vertAlign w:val="subscript"/>
        </w:rPr>
        <w:t>2</w:t>
      </w:r>
      <w:r w:rsidR="0068292A" w:rsidRPr="00813257">
        <w:t>O</w:t>
      </w:r>
      <w:r w:rsidR="0068292A" w:rsidRPr="00813257">
        <w:rPr>
          <w:vertAlign w:val="subscript"/>
        </w:rPr>
        <w:t>7</w:t>
      </w:r>
      <w:r w:rsidR="0068292A">
        <w:t xml:space="preserve"> </w:t>
      </w:r>
      <w:r w:rsidR="0068292A" w:rsidRPr="00813257">
        <w:t>en la que es común encontrar compuestos contaminantes, además de</w:t>
      </w:r>
      <w:r w:rsidR="0068292A">
        <w:t xml:space="preserve"> que</w:t>
      </w:r>
      <w:r w:rsidR="0068292A" w:rsidRPr="00813257">
        <w:t xml:space="preserve"> para la sección 1 en específico se tiene al agua como factor importante que puede significar el cambio observado en los picos, aunque para las secciones 5 , 7 y 8 no se observaron cambios significativos</w:t>
      </w:r>
      <w:r w:rsidR="0068292A">
        <w:t xml:space="preserve">. En especial la sección 5 </w:t>
      </w:r>
      <w:r w:rsidR="0068292A" w:rsidRPr="00813257">
        <w:t>no presenta cambio mínimo en los picos lo cual sugiere que no hubo ningún cambio en la concentración</w:t>
      </w:r>
      <w:r w:rsidR="0068292A">
        <w:t xml:space="preserve"> de núcleos </w:t>
      </w:r>
      <w:r w:rsidR="0068292A" w:rsidRPr="00813257">
        <w:t>bencénicos.</w:t>
      </w:r>
      <w:r w:rsidR="0068292A" w:rsidRPr="00465A58">
        <w:rPr>
          <w:rFonts w:ascii="Arial" w:hAnsi="Arial" w:cs="Arial"/>
          <w:sz w:val="24"/>
          <w:szCs w:val="24"/>
        </w:rPr>
        <w:t xml:space="preserve"> </w:t>
      </w:r>
    </w:p>
    <w:p w:rsidR="00F56636" w:rsidRDefault="00F56636" w:rsidP="00F56636">
      <w:pPr>
        <w:rPr>
          <w:rFonts w:cs="Times New Roman"/>
          <w:szCs w:val="20"/>
        </w:rPr>
      </w:pPr>
      <w:r>
        <w:rPr>
          <w:rFonts w:cs="Times New Roman"/>
          <w:b/>
          <w:bCs/>
          <w:sz w:val="16"/>
          <w:szCs w:val="18"/>
        </w:rPr>
        <w:t>Tabla</w:t>
      </w:r>
      <w:r w:rsidR="00C3699B">
        <w:rPr>
          <w:rFonts w:cs="Times New Roman"/>
          <w:b/>
          <w:bCs/>
          <w:sz w:val="16"/>
          <w:szCs w:val="18"/>
        </w:rPr>
        <w:t xml:space="preserve"> </w:t>
      </w:r>
      <w:r>
        <w:rPr>
          <w:rFonts w:cs="Times New Roman"/>
          <w:b/>
          <w:bCs/>
          <w:sz w:val="16"/>
          <w:szCs w:val="18"/>
        </w:rPr>
        <w:t xml:space="preserve">2. </w:t>
      </w:r>
      <w:r w:rsidR="00E83C9A">
        <w:rPr>
          <w:rFonts w:cs="Times New Roman"/>
          <w:b/>
          <w:bCs/>
          <w:sz w:val="16"/>
          <w:szCs w:val="18"/>
        </w:rPr>
        <w:t>R</w:t>
      </w:r>
      <w:r w:rsidR="00E83C9A" w:rsidRPr="00E83C9A">
        <w:rPr>
          <w:rFonts w:cs="Times New Roman"/>
          <w:b/>
          <w:bCs/>
          <w:sz w:val="16"/>
          <w:szCs w:val="18"/>
        </w:rPr>
        <w:t>esumen del análisis de espectroscopia infrarroja con transformada de Fourier</w:t>
      </w:r>
    </w:p>
    <w:tbl>
      <w:tblPr>
        <w:tblStyle w:val="PlainTable2"/>
        <w:tblW w:w="5000" w:type="pct"/>
        <w:tblLook w:val="04A0" w:firstRow="1" w:lastRow="0" w:firstColumn="1" w:lastColumn="0" w:noHBand="0" w:noVBand="1"/>
      </w:tblPr>
      <w:tblGrid>
        <w:gridCol w:w="919"/>
        <w:gridCol w:w="1263"/>
        <w:gridCol w:w="1229"/>
        <w:gridCol w:w="1412"/>
      </w:tblGrid>
      <w:tr w:rsidR="00AC2F08" w:rsidRPr="00580E94" w:rsidTr="00F5663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53" w:type="pct"/>
            <w:vAlign w:val="center"/>
          </w:tcPr>
          <w:p w:rsidR="00617AA0" w:rsidRPr="00F56636" w:rsidRDefault="00617AA0" w:rsidP="00F56636">
            <w:pPr>
              <w:ind w:firstLine="0"/>
              <w:jc w:val="center"/>
              <w:rPr>
                <w:sz w:val="16"/>
                <w:szCs w:val="16"/>
              </w:rPr>
            </w:pPr>
            <w:r w:rsidRPr="00F56636">
              <w:rPr>
                <w:sz w:val="16"/>
                <w:szCs w:val="16"/>
              </w:rPr>
              <w:t>Sección</w:t>
            </w:r>
          </w:p>
        </w:tc>
        <w:tc>
          <w:tcPr>
            <w:tcW w:w="1309" w:type="pct"/>
            <w:vAlign w:val="center"/>
          </w:tcPr>
          <w:p w:rsidR="00617AA0" w:rsidRPr="00F56636" w:rsidRDefault="00617AA0" w:rsidP="00F56636">
            <w:pPr>
              <w:ind w:firstLine="0"/>
              <w:jc w:val="center"/>
              <w:cnfStyle w:val="100000000000" w:firstRow="1" w:lastRow="0" w:firstColumn="0" w:lastColumn="0" w:oddVBand="0" w:evenVBand="0" w:oddHBand="0" w:evenHBand="0" w:firstRowFirstColumn="0" w:firstRowLastColumn="0" w:lastRowFirstColumn="0" w:lastRowLastColumn="0"/>
              <w:rPr>
                <w:sz w:val="16"/>
                <w:szCs w:val="16"/>
                <w:vertAlign w:val="superscript"/>
              </w:rPr>
            </w:pPr>
            <w:r w:rsidRPr="00F56636">
              <w:rPr>
                <w:sz w:val="16"/>
                <w:szCs w:val="16"/>
              </w:rPr>
              <w:t>Intervalo/cm</w:t>
            </w:r>
            <w:r w:rsidRPr="00F56636">
              <w:rPr>
                <w:sz w:val="16"/>
                <w:szCs w:val="16"/>
                <w:vertAlign w:val="superscript"/>
              </w:rPr>
              <w:t>-1</w:t>
            </w:r>
          </w:p>
        </w:tc>
        <w:tc>
          <w:tcPr>
            <w:tcW w:w="1274" w:type="pct"/>
            <w:vAlign w:val="center"/>
          </w:tcPr>
          <w:p w:rsidR="00617AA0" w:rsidRPr="00F56636" w:rsidRDefault="00617AA0" w:rsidP="00F56636">
            <w:pPr>
              <w:ind w:firstLine="0"/>
              <w:jc w:val="center"/>
              <w:cnfStyle w:val="100000000000" w:firstRow="1" w:lastRow="0" w:firstColumn="0" w:lastColumn="0" w:oddVBand="0" w:evenVBand="0" w:oddHBand="0" w:evenHBand="0" w:firstRowFirstColumn="0" w:firstRowLastColumn="0" w:lastRowFirstColumn="0" w:lastRowLastColumn="0"/>
              <w:rPr>
                <w:sz w:val="16"/>
                <w:szCs w:val="16"/>
              </w:rPr>
            </w:pPr>
            <w:r w:rsidRPr="00F56636">
              <w:rPr>
                <w:sz w:val="16"/>
                <w:szCs w:val="16"/>
              </w:rPr>
              <w:t>Grupos funcionales</w:t>
            </w:r>
          </w:p>
        </w:tc>
        <w:tc>
          <w:tcPr>
            <w:tcW w:w="1464" w:type="pct"/>
            <w:vAlign w:val="center"/>
          </w:tcPr>
          <w:p w:rsidR="00617AA0" w:rsidRPr="00F56636" w:rsidRDefault="00617AA0" w:rsidP="00F56636">
            <w:pPr>
              <w:ind w:firstLine="0"/>
              <w:jc w:val="center"/>
              <w:cnfStyle w:val="100000000000" w:firstRow="1" w:lastRow="0" w:firstColumn="0" w:lastColumn="0" w:oddVBand="0" w:evenVBand="0" w:oddHBand="0" w:evenHBand="0" w:firstRowFirstColumn="0" w:firstRowLastColumn="0" w:lastRowFirstColumn="0" w:lastRowLastColumn="0"/>
              <w:rPr>
                <w:sz w:val="16"/>
                <w:szCs w:val="16"/>
              </w:rPr>
            </w:pPr>
            <w:r w:rsidRPr="00F56636">
              <w:rPr>
                <w:sz w:val="16"/>
                <w:szCs w:val="16"/>
              </w:rPr>
              <w:t>Observaciones</w:t>
            </w:r>
          </w:p>
        </w:tc>
      </w:tr>
      <w:tr w:rsidR="00AC2F08" w:rsidRPr="00CD34C8" w:rsidTr="00F5663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53" w:type="pct"/>
            <w:vAlign w:val="center"/>
          </w:tcPr>
          <w:p w:rsidR="00617AA0" w:rsidRPr="00580E94" w:rsidRDefault="00617AA0" w:rsidP="00F56636">
            <w:pPr>
              <w:ind w:firstLine="0"/>
              <w:jc w:val="center"/>
              <w:rPr>
                <w:sz w:val="16"/>
                <w:szCs w:val="16"/>
              </w:rPr>
            </w:pPr>
            <w:r w:rsidRPr="00580E94">
              <w:rPr>
                <w:sz w:val="16"/>
                <w:szCs w:val="16"/>
              </w:rPr>
              <w:t>1</w:t>
            </w:r>
          </w:p>
        </w:tc>
        <w:tc>
          <w:tcPr>
            <w:tcW w:w="1309" w:type="pct"/>
            <w:vAlign w:val="center"/>
          </w:tcPr>
          <w:p w:rsidR="00617AA0" w:rsidRPr="00580E94" w:rsidRDefault="00617AA0" w:rsidP="00F56636">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s-CO"/>
              </w:rPr>
            </w:pPr>
            <w:r w:rsidRPr="00580E94">
              <w:rPr>
                <w:color w:val="000000"/>
                <w:sz w:val="16"/>
                <w:szCs w:val="16"/>
                <w:lang w:eastAsia="es-CO"/>
              </w:rPr>
              <w:t>3100-3500</w:t>
            </w:r>
          </w:p>
        </w:tc>
        <w:tc>
          <w:tcPr>
            <w:tcW w:w="1274" w:type="pct"/>
            <w:vAlign w:val="center"/>
          </w:tcPr>
          <w:p w:rsidR="00617AA0" w:rsidRPr="00580E94" w:rsidRDefault="00617AA0" w:rsidP="00F56636">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s-CO"/>
              </w:rPr>
            </w:pPr>
            <w:r>
              <w:rPr>
                <w:color w:val="000000"/>
                <w:sz w:val="16"/>
                <w:szCs w:val="16"/>
                <w:lang w:eastAsia="es-CO"/>
              </w:rPr>
              <w:t>O-H (enlaces de hidró</w:t>
            </w:r>
            <w:r w:rsidRPr="00580E94">
              <w:rPr>
                <w:color w:val="000000"/>
                <w:sz w:val="16"/>
                <w:szCs w:val="16"/>
                <w:lang w:eastAsia="es-CO"/>
              </w:rPr>
              <w:t>geno)</w:t>
            </w:r>
            <w:r>
              <w:rPr>
                <w:color w:val="000000"/>
                <w:sz w:val="16"/>
                <w:szCs w:val="16"/>
                <w:lang w:eastAsia="es-CO"/>
              </w:rPr>
              <w:t>.</w:t>
            </w:r>
          </w:p>
        </w:tc>
        <w:tc>
          <w:tcPr>
            <w:tcW w:w="1464" w:type="pct"/>
            <w:vAlign w:val="center"/>
          </w:tcPr>
          <w:p w:rsidR="00617AA0" w:rsidRPr="00580E94" w:rsidRDefault="00617AA0" w:rsidP="00F56636">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s-CO"/>
              </w:rPr>
            </w:pPr>
            <w:r w:rsidRPr="00580E94">
              <w:rPr>
                <w:color w:val="000000"/>
                <w:sz w:val="16"/>
                <w:szCs w:val="16"/>
                <w:lang w:eastAsia="es-CO"/>
              </w:rPr>
              <w:t>Agua en</w:t>
            </w:r>
            <w:r>
              <w:rPr>
                <w:color w:val="000000"/>
                <w:sz w:val="16"/>
                <w:szCs w:val="16"/>
                <w:lang w:eastAsia="es-CO"/>
              </w:rPr>
              <w:t xml:space="preserve"> forma de humedad en la muestra</w:t>
            </w:r>
            <w:r w:rsidRPr="00580E94">
              <w:rPr>
                <w:color w:val="000000"/>
                <w:sz w:val="16"/>
                <w:szCs w:val="16"/>
                <w:lang w:eastAsia="es-CO"/>
              </w:rPr>
              <w:t>, alcoholes o aminas</w:t>
            </w:r>
            <w:r>
              <w:rPr>
                <w:color w:val="000000"/>
                <w:sz w:val="16"/>
                <w:szCs w:val="16"/>
                <w:lang w:eastAsia="es-CO"/>
              </w:rPr>
              <w:t>.</w:t>
            </w:r>
          </w:p>
        </w:tc>
      </w:tr>
      <w:tr w:rsidR="00AC2F08" w:rsidRPr="00580E94" w:rsidTr="00F56636">
        <w:trPr>
          <w:trHeight w:val="20"/>
        </w:trPr>
        <w:tc>
          <w:tcPr>
            <w:cnfStyle w:val="001000000000" w:firstRow="0" w:lastRow="0" w:firstColumn="1" w:lastColumn="0" w:oddVBand="0" w:evenVBand="0" w:oddHBand="0" w:evenHBand="0" w:firstRowFirstColumn="0" w:firstRowLastColumn="0" w:lastRowFirstColumn="0" w:lastRowLastColumn="0"/>
            <w:tcW w:w="953" w:type="pct"/>
            <w:vAlign w:val="center"/>
          </w:tcPr>
          <w:p w:rsidR="00617AA0" w:rsidRPr="00580E94" w:rsidRDefault="00617AA0" w:rsidP="00F56636">
            <w:pPr>
              <w:ind w:firstLine="0"/>
              <w:jc w:val="center"/>
              <w:rPr>
                <w:sz w:val="16"/>
                <w:szCs w:val="16"/>
              </w:rPr>
            </w:pPr>
            <w:r w:rsidRPr="00580E94">
              <w:rPr>
                <w:sz w:val="16"/>
                <w:szCs w:val="16"/>
              </w:rPr>
              <w:t>2</w:t>
            </w:r>
          </w:p>
        </w:tc>
        <w:tc>
          <w:tcPr>
            <w:tcW w:w="1309" w:type="pct"/>
            <w:vAlign w:val="center"/>
          </w:tcPr>
          <w:p w:rsidR="00617AA0" w:rsidRPr="00580E94" w:rsidRDefault="00617AA0" w:rsidP="00F56636">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s-CO"/>
              </w:rPr>
            </w:pPr>
            <w:r w:rsidRPr="00580E94">
              <w:rPr>
                <w:color w:val="000000"/>
                <w:sz w:val="16"/>
                <w:szCs w:val="16"/>
                <w:lang w:eastAsia="es-CO"/>
              </w:rPr>
              <w:t>2700-3000</w:t>
            </w:r>
          </w:p>
        </w:tc>
        <w:tc>
          <w:tcPr>
            <w:tcW w:w="1274" w:type="pct"/>
            <w:vAlign w:val="center"/>
          </w:tcPr>
          <w:p w:rsidR="00617AA0" w:rsidRPr="00580E94" w:rsidRDefault="00617AA0" w:rsidP="00F56636">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s-CO"/>
              </w:rPr>
            </w:pPr>
            <w:r w:rsidRPr="00580E94">
              <w:rPr>
                <w:color w:val="000000"/>
                <w:sz w:val="16"/>
                <w:szCs w:val="16"/>
                <w:lang w:eastAsia="es-CO"/>
              </w:rPr>
              <w:t>enlaces simples y grupos carboxílicos y carbonilos</w:t>
            </w:r>
            <w:r>
              <w:rPr>
                <w:color w:val="000000"/>
                <w:sz w:val="16"/>
                <w:szCs w:val="16"/>
                <w:lang w:eastAsia="es-CO"/>
              </w:rPr>
              <w:t>.</w:t>
            </w:r>
          </w:p>
        </w:tc>
        <w:tc>
          <w:tcPr>
            <w:tcW w:w="1464" w:type="pct"/>
            <w:vAlign w:val="center"/>
          </w:tcPr>
          <w:p w:rsidR="00617AA0" w:rsidRPr="00580E94" w:rsidRDefault="00617AA0" w:rsidP="00F56636">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s-CO"/>
              </w:rPr>
            </w:pPr>
            <w:r w:rsidRPr="00580E94">
              <w:rPr>
                <w:color w:val="000000"/>
                <w:sz w:val="16"/>
                <w:szCs w:val="16"/>
                <w:lang w:eastAsia="es-CO"/>
              </w:rPr>
              <w:t>Grupos carboxilos o carbonilos</w:t>
            </w:r>
            <w:r>
              <w:rPr>
                <w:color w:val="000000"/>
                <w:sz w:val="16"/>
                <w:szCs w:val="16"/>
                <w:lang w:eastAsia="es-CO"/>
              </w:rPr>
              <w:t>.</w:t>
            </w:r>
          </w:p>
        </w:tc>
      </w:tr>
      <w:tr w:rsidR="00AC2F08" w:rsidRPr="00CD34C8" w:rsidTr="00F5663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53" w:type="pct"/>
            <w:vAlign w:val="center"/>
          </w:tcPr>
          <w:p w:rsidR="00617AA0" w:rsidRPr="00580E94" w:rsidRDefault="00617AA0" w:rsidP="00F56636">
            <w:pPr>
              <w:ind w:firstLine="0"/>
              <w:jc w:val="center"/>
              <w:rPr>
                <w:sz w:val="16"/>
                <w:szCs w:val="16"/>
              </w:rPr>
            </w:pPr>
            <w:r w:rsidRPr="00580E94">
              <w:rPr>
                <w:sz w:val="16"/>
                <w:szCs w:val="16"/>
              </w:rPr>
              <w:t>3</w:t>
            </w:r>
          </w:p>
        </w:tc>
        <w:tc>
          <w:tcPr>
            <w:tcW w:w="1309" w:type="pct"/>
            <w:vAlign w:val="center"/>
          </w:tcPr>
          <w:p w:rsidR="00617AA0" w:rsidRPr="00580E94" w:rsidRDefault="00617AA0" w:rsidP="00F56636">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s-CO"/>
              </w:rPr>
            </w:pPr>
            <w:r w:rsidRPr="00580E94">
              <w:rPr>
                <w:color w:val="000000"/>
                <w:sz w:val="16"/>
                <w:szCs w:val="16"/>
                <w:lang w:eastAsia="es-CO"/>
              </w:rPr>
              <w:t>2400-2300</w:t>
            </w:r>
          </w:p>
        </w:tc>
        <w:tc>
          <w:tcPr>
            <w:tcW w:w="1274" w:type="pct"/>
            <w:vAlign w:val="center"/>
          </w:tcPr>
          <w:p w:rsidR="00617AA0" w:rsidRPr="00580E94" w:rsidRDefault="00617AA0" w:rsidP="00F56636">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s-CO"/>
              </w:rPr>
            </w:pPr>
            <w:r w:rsidRPr="00580E94">
              <w:rPr>
                <w:color w:val="000000"/>
                <w:sz w:val="16"/>
                <w:szCs w:val="16"/>
                <w:lang w:eastAsia="es-CO"/>
              </w:rPr>
              <w:t>Grupo nitrilo aislado</w:t>
            </w:r>
            <w:r>
              <w:rPr>
                <w:color w:val="000000"/>
                <w:sz w:val="16"/>
                <w:szCs w:val="16"/>
                <w:lang w:eastAsia="es-CO"/>
              </w:rPr>
              <w:t>.</w:t>
            </w:r>
          </w:p>
        </w:tc>
        <w:tc>
          <w:tcPr>
            <w:tcW w:w="1464" w:type="pct"/>
            <w:vAlign w:val="center"/>
          </w:tcPr>
          <w:p w:rsidR="00617AA0" w:rsidRPr="00580E94" w:rsidRDefault="00617AA0" w:rsidP="00F56636">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s-CO"/>
              </w:rPr>
            </w:pPr>
            <w:r w:rsidRPr="00580E94">
              <w:rPr>
                <w:color w:val="000000"/>
                <w:sz w:val="16"/>
                <w:szCs w:val="16"/>
                <w:lang w:eastAsia="es-CO"/>
              </w:rPr>
              <w:t>Las cianamidas dan igual que</w:t>
            </w:r>
            <w:r>
              <w:rPr>
                <w:color w:val="000000"/>
                <w:sz w:val="16"/>
                <w:szCs w:val="16"/>
                <w:lang w:eastAsia="es-CO"/>
              </w:rPr>
              <w:t xml:space="preserve"> los conjugados, cianuros </w:t>
            </w:r>
            <w:proofErr w:type="spellStart"/>
            <w:r>
              <w:rPr>
                <w:color w:val="000000"/>
                <w:sz w:val="16"/>
                <w:szCs w:val="16"/>
                <w:lang w:eastAsia="es-CO"/>
              </w:rPr>
              <w:t>alcalínicos</w:t>
            </w:r>
            <w:proofErr w:type="spellEnd"/>
            <w:r>
              <w:rPr>
                <w:color w:val="000000"/>
                <w:sz w:val="16"/>
                <w:szCs w:val="16"/>
                <w:lang w:eastAsia="es-CO"/>
              </w:rPr>
              <w:t>.</w:t>
            </w:r>
          </w:p>
        </w:tc>
      </w:tr>
      <w:tr w:rsidR="00AC2F08" w:rsidRPr="00CD34C8" w:rsidTr="00F56636">
        <w:trPr>
          <w:trHeight w:val="20"/>
        </w:trPr>
        <w:tc>
          <w:tcPr>
            <w:cnfStyle w:val="001000000000" w:firstRow="0" w:lastRow="0" w:firstColumn="1" w:lastColumn="0" w:oddVBand="0" w:evenVBand="0" w:oddHBand="0" w:evenHBand="0" w:firstRowFirstColumn="0" w:firstRowLastColumn="0" w:lastRowFirstColumn="0" w:lastRowLastColumn="0"/>
            <w:tcW w:w="953" w:type="pct"/>
            <w:vAlign w:val="center"/>
          </w:tcPr>
          <w:p w:rsidR="00617AA0" w:rsidRPr="00580E94" w:rsidRDefault="00617AA0" w:rsidP="00F56636">
            <w:pPr>
              <w:ind w:firstLine="0"/>
              <w:jc w:val="center"/>
              <w:rPr>
                <w:sz w:val="16"/>
                <w:szCs w:val="16"/>
              </w:rPr>
            </w:pPr>
            <w:r w:rsidRPr="00580E94">
              <w:rPr>
                <w:sz w:val="16"/>
                <w:szCs w:val="16"/>
              </w:rPr>
              <w:t>4</w:t>
            </w:r>
          </w:p>
        </w:tc>
        <w:tc>
          <w:tcPr>
            <w:tcW w:w="1309" w:type="pct"/>
            <w:vAlign w:val="center"/>
          </w:tcPr>
          <w:p w:rsidR="00617AA0" w:rsidRPr="00580E94" w:rsidRDefault="00617AA0" w:rsidP="00F56636">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s-CO"/>
              </w:rPr>
            </w:pPr>
            <w:r w:rsidRPr="00580E94">
              <w:rPr>
                <w:color w:val="000000"/>
                <w:sz w:val="16"/>
                <w:szCs w:val="16"/>
                <w:lang w:eastAsia="es-CO"/>
              </w:rPr>
              <w:t>2000-1760</w:t>
            </w:r>
          </w:p>
        </w:tc>
        <w:tc>
          <w:tcPr>
            <w:tcW w:w="1274" w:type="pct"/>
            <w:vAlign w:val="center"/>
          </w:tcPr>
          <w:p w:rsidR="00617AA0" w:rsidRPr="00580E94" w:rsidRDefault="00617AA0" w:rsidP="00F56636">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s-CO"/>
              </w:rPr>
            </w:pPr>
            <w:r w:rsidRPr="00580E94">
              <w:rPr>
                <w:color w:val="000000"/>
                <w:sz w:val="16"/>
                <w:szCs w:val="16"/>
                <w:lang w:eastAsia="es-CO"/>
              </w:rPr>
              <w:t>Aromáticos</w:t>
            </w:r>
            <w:r>
              <w:rPr>
                <w:color w:val="000000"/>
                <w:sz w:val="16"/>
                <w:szCs w:val="16"/>
                <w:lang w:eastAsia="es-CO"/>
              </w:rPr>
              <w:t>.</w:t>
            </w:r>
          </w:p>
        </w:tc>
        <w:tc>
          <w:tcPr>
            <w:tcW w:w="1464" w:type="pct"/>
            <w:vAlign w:val="center"/>
          </w:tcPr>
          <w:p w:rsidR="00617AA0" w:rsidRPr="00580E94" w:rsidRDefault="00617AA0" w:rsidP="00F56636">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s-CO"/>
              </w:rPr>
            </w:pPr>
            <w:r w:rsidRPr="00580E94">
              <w:rPr>
                <w:color w:val="000000"/>
                <w:sz w:val="16"/>
                <w:szCs w:val="16"/>
                <w:lang w:eastAsia="es-CO"/>
              </w:rPr>
              <w:t>Sobretono de las flexiones fuera del campo C-H y combinaciones</w:t>
            </w:r>
          </w:p>
        </w:tc>
      </w:tr>
      <w:tr w:rsidR="00AC2F08" w:rsidRPr="00580E94" w:rsidTr="00F5663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53" w:type="pct"/>
            <w:vAlign w:val="center"/>
          </w:tcPr>
          <w:p w:rsidR="00617AA0" w:rsidRPr="00580E94" w:rsidRDefault="00617AA0" w:rsidP="00F56636">
            <w:pPr>
              <w:ind w:firstLine="0"/>
              <w:jc w:val="center"/>
              <w:rPr>
                <w:sz w:val="16"/>
                <w:szCs w:val="16"/>
              </w:rPr>
            </w:pPr>
            <w:r w:rsidRPr="00580E94">
              <w:rPr>
                <w:sz w:val="16"/>
                <w:szCs w:val="16"/>
              </w:rPr>
              <w:t>5</w:t>
            </w:r>
          </w:p>
        </w:tc>
        <w:tc>
          <w:tcPr>
            <w:tcW w:w="1309" w:type="pct"/>
            <w:vAlign w:val="center"/>
          </w:tcPr>
          <w:p w:rsidR="00617AA0" w:rsidRPr="00580E94" w:rsidRDefault="00617AA0" w:rsidP="00F56636">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s-CO"/>
              </w:rPr>
            </w:pPr>
            <w:r w:rsidRPr="00580E94">
              <w:rPr>
                <w:color w:val="000000"/>
                <w:sz w:val="16"/>
                <w:szCs w:val="16"/>
                <w:lang w:eastAsia="es-CO"/>
              </w:rPr>
              <w:t>1750-1550</w:t>
            </w:r>
          </w:p>
        </w:tc>
        <w:tc>
          <w:tcPr>
            <w:tcW w:w="1274" w:type="pct"/>
            <w:vAlign w:val="center"/>
          </w:tcPr>
          <w:p w:rsidR="00617AA0" w:rsidRPr="00580E94" w:rsidRDefault="00617AA0" w:rsidP="00F56636">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s-CO"/>
              </w:rPr>
            </w:pPr>
            <w:r w:rsidRPr="00580E94">
              <w:rPr>
                <w:color w:val="000000"/>
                <w:sz w:val="16"/>
                <w:szCs w:val="16"/>
                <w:lang w:eastAsia="es-CO"/>
              </w:rPr>
              <w:t>Aromáticos</w:t>
            </w:r>
          </w:p>
        </w:tc>
        <w:tc>
          <w:tcPr>
            <w:tcW w:w="1464" w:type="pct"/>
            <w:vAlign w:val="center"/>
          </w:tcPr>
          <w:p w:rsidR="00617AA0" w:rsidRPr="00580E94" w:rsidRDefault="00617AA0" w:rsidP="00F56636">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s-CO"/>
              </w:rPr>
            </w:pPr>
            <w:r w:rsidRPr="00580E94">
              <w:rPr>
                <w:color w:val="000000"/>
                <w:sz w:val="16"/>
                <w:szCs w:val="16"/>
                <w:lang w:eastAsia="es-CO"/>
              </w:rPr>
              <w:t>Núcleo bencénico</w:t>
            </w:r>
          </w:p>
        </w:tc>
      </w:tr>
      <w:tr w:rsidR="00AC2F08" w:rsidRPr="00CD34C8" w:rsidTr="00F56636">
        <w:trPr>
          <w:trHeight w:val="20"/>
        </w:trPr>
        <w:tc>
          <w:tcPr>
            <w:cnfStyle w:val="001000000000" w:firstRow="0" w:lastRow="0" w:firstColumn="1" w:lastColumn="0" w:oddVBand="0" w:evenVBand="0" w:oddHBand="0" w:evenHBand="0" w:firstRowFirstColumn="0" w:firstRowLastColumn="0" w:lastRowFirstColumn="0" w:lastRowLastColumn="0"/>
            <w:tcW w:w="953" w:type="pct"/>
            <w:vAlign w:val="center"/>
          </w:tcPr>
          <w:p w:rsidR="00617AA0" w:rsidRPr="00580E94" w:rsidRDefault="00617AA0" w:rsidP="00F56636">
            <w:pPr>
              <w:pStyle w:val="TableTitle"/>
              <w:rPr>
                <w:szCs w:val="16"/>
                <w:lang w:val="es-CO"/>
              </w:rPr>
            </w:pPr>
            <w:r w:rsidRPr="00580E94">
              <w:rPr>
                <w:szCs w:val="16"/>
                <w:lang w:val="es-CO"/>
              </w:rPr>
              <w:t>6</w:t>
            </w:r>
          </w:p>
        </w:tc>
        <w:tc>
          <w:tcPr>
            <w:tcW w:w="1309" w:type="pct"/>
            <w:vAlign w:val="center"/>
          </w:tcPr>
          <w:p w:rsidR="00617AA0" w:rsidRPr="00580E94" w:rsidRDefault="00617AA0" w:rsidP="00F56636">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s-CO"/>
              </w:rPr>
            </w:pPr>
            <w:r w:rsidRPr="00580E94">
              <w:rPr>
                <w:color w:val="000000"/>
                <w:sz w:val="16"/>
                <w:szCs w:val="16"/>
                <w:lang w:eastAsia="es-CO"/>
              </w:rPr>
              <w:t>1500-1350</w:t>
            </w:r>
          </w:p>
        </w:tc>
        <w:tc>
          <w:tcPr>
            <w:tcW w:w="1274" w:type="pct"/>
            <w:vMerge w:val="restart"/>
            <w:vAlign w:val="center"/>
          </w:tcPr>
          <w:p w:rsidR="00617AA0" w:rsidRPr="007F72F9" w:rsidRDefault="00617AA0" w:rsidP="00F56636">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s-CO"/>
              </w:rPr>
            </w:pPr>
            <w:r w:rsidRPr="00580E94">
              <w:rPr>
                <w:color w:val="000000"/>
                <w:sz w:val="16"/>
                <w:szCs w:val="16"/>
                <w:lang w:eastAsia="es-CO"/>
              </w:rPr>
              <w:t>Estiramiento</w:t>
            </w:r>
            <w:r w:rsidRPr="007F72F9">
              <w:rPr>
                <w:color w:val="000000"/>
                <w:sz w:val="16"/>
                <w:szCs w:val="16"/>
                <w:lang w:eastAsia="es-CO"/>
              </w:rPr>
              <w:t xml:space="preserve"> de enlaces C-O,C-</w:t>
            </w:r>
            <w:r w:rsidRPr="007F72F9">
              <w:rPr>
                <w:color w:val="000000"/>
                <w:sz w:val="16"/>
                <w:szCs w:val="16"/>
                <w:lang w:eastAsia="es-CO"/>
              </w:rPr>
              <w:lastRenderedPageBreak/>
              <w:t>N y C-O</w:t>
            </w:r>
          </w:p>
        </w:tc>
        <w:tc>
          <w:tcPr>
            <w:tcW w:w="1464" w:type="pct"/>
            <w:vMerge w:val="restart"/>
            <w:vAlign w:val="center"/>
          </w:tcPr>
          <w:p w:rsidR="00617AA0" w:rsidRPr="00580E94" w:rsidRDefault="00617AA0" w:rsidP="00F56636">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s-CO"/>
              </w:rPr>
            </w:pPr>
            <w:r w:rsidRPr="00580E94">
              <w:rPr>
                <w:color w:val="000000"/>
                <w:sz w:val="16"/>
                <w:szCs w:val="16"/>
                <w:lang w:eastAsia="es-CO"/>
              </w:rPr>
              <w:t>Estas señales son solo complementarias, puesto que los estiramientos caen todos en la misma región.</w:t>
            </w:r>
          </w:p>
        </w:tc>
      </w:tr>
      <w:tr w:rsidR="00AC2F08" w:rsidRPr="00580E94" w:rsidTr="00F5663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53" w:type="pct"/>
            <w:vAlign w:val="center"/>
          </w:tcPr>
          <w:p w:rsidR="00617AA0" w:rsidRPr="00580E94" w:rsidRDefault="00617AA0" w:rsidP="00F56636">
            <w:pPr>
              <w:pStyle w:val="TableTitle"/>
              <w:rPr>
                <w:szCs w:val="16"/>
                <w:lang w:val="es-CO"/>
              </w:rPr>
            </w:pPr>
            <w:r w:rsidRPr="00580E94">
              <w:rPr>
                <w:szCs w:val="16"/>
                <w:lang w:val="es-CO"/>
              </w:rPr>
              <w:t>7</w:t>
            </w:r>
          </w:p>
        </w:tc>
        <w:tc>
          <w:tcPr>
            <w:tcW w:w="1309" w:type="pct"/>
            <w:vAlign w:val="center"/>
          </w:tcPr>
          <w:p w:rsidR="00617AA0" w:rsidRPr="00580E94" w:rsidRDefault="00617AA0" w:rsidP="00F56636">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s-CO"/>
              </w:rPr>
            </w:pPr>
            <w:r w:rsidRPr="00580E94">
              <w:rPr>
                <w:color w:val="000000"/>
                <w:sz w:val="16"/>
                <w:szCs w:val="16"/>
                <w:lang w:eastAsia="es-CO"/>
              </w:rPr>
              <w:t>1200-1050</w:t>
            </w:r>
          </w:p>
        </w:tc>
        <w:tc>
          <w:tcPr>
            <w:tcW w:w="1274" w:type="pct"/>
            <w:vMerge/>
            <w:vAlign w:val="center"/>
          </w:tcPr>
          <w:p w:rsidR="00617AA0" w:rsidRPr="00580E94" w:rsidRDefault="00617AA0" w:rsidP="00F56636">
            <w:pPr>
              <w:jc w:val="center"/>
              <w:cnfStyle w:val="000000100000" w:firstRow="0" w:lastRow="0" w:firstColumn="0" w:lastColumn="0" w:oddVBand="0" w:evenVBand="0" w:oddHBand="1" w:evenHBand="0" w:firstRowFirstColumn="0" w:firstRowLastColumn="0" w:lastRowFirstColumn="0" w:lastRowLastColumn="0"/>
              <w:rPr>
                <w:smallCaps/>
                <w:sz w:val="16"/>
                <w:szCs w:val="16"/>
              </w:rPr>
            </w:pPr>
          </w:p>
        </w:tc>
        <w:tc>
          <w:tcPr>
            <w:tcW w:w="1464" w:type="pct"/>
            <w:vMerge/>
            <w:vAlign w:val="center"/>
          </w:tcPr>
          <w:p w:rsidR="00617AA0" w:rsidRPr="00580E94" w:rsidRDefault="00617AA0" w:rsidP="00F56636">
            <w:pPr>
              <w:jc w:val="center"/>
              <w:cnfStyle w:val="000000100000" w:firstRow="0" w:lastRow="0" w:firstColumn="0" w:lastColumn="0" w:oddVBand="0" w:evenVBand="0" w:oddHBand="1" w:evenHBand="0" w:firstRowFirstColumn="0" w:firstRowLastColumn="0" w:lastRowFirstColumn="0" w:lastRowLastColumn="0"/>
              <w:rPr>
                <w:smallCaps/>
                <w:sz w:val="16"/>
                <w:szCs w:val="16"/>
              </w:rPr>
            </w:pPr>
          </w:p>
        </w:tc>
      </w:tr>
      <w:tr w:rsidR="00AC2F08" w:rsidRPr="00580E94" w:rsidTr="00F56636">
        <w:trPr>
          <w:trHeight w:val="914"/>
        </w:trPr>
        <w:tc>
          <w:tcPr>
            <w:cnfStyle w:val="001000000000" w:firstRow="0" w:lastRow="0" w:firstColumn="1" w:lastColumn="0" w:oddVBand="0" w:evenVBand="0" w:oddHBand="0" w:evenHBand="0" w:firstRowFirstColumn="0" w:firstRowLastColumn="0" w:lastRowFirstColumn="0" w:lastRowLastColumn="0"/>
            <w:tcW w:w="953" w:type="pct"/>
            <w:vAlign w:val="center"/>
          </w:tcPr>
          <w:p w:rsidR="00617AA0" w:rsidRPr="00580E94" w:rsidRDefault="00617AA0" w:rsidP="00F56636">
            <w:pPr>
              <w:pStyle w:val="TableTitle"/>
              <w:rPr>
                <w:szCs w:val="16"/>
                <w:lang w:val="es-CO"/>
              </w:rPr>
            </w:pPr>
            <w:r w:rsidRPr="00580E94">
              <w:rPr>
                <w:szCs w:val="16"/>
                <w:lang w:val="es-CO"/>
              </w:rPr>
              <w:t>8</w:t>
            </w:r>
          </w:p>
        </w:tc>
        <w:tc>
          <w:tcPr>
            <w:tcW w:w="1309" w:type="pct"/>
            <w:vAlign w:val="center"/>
          </w:tcPr>
          <w:p w:rsidR="00617AA0" w:rsidRPr="00580E94" w:rsidRDefault="00617AA0" w:rsidP="00F56636">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s-CO"/>
              </w:rPr>
            </w:pPr>
            <w:r w:rsidRPr="00580E94">
              <w:rPr>
                <w:color w:val="000000"/>
                <w:sz w:val="16"/>
                <w:szCs w:val="16"/>
                <w:lang w:eastAsia="es-CO"/>
              </w:rPr>
              <w:t>1000-950</w:t>
            </w:r>
          </w:p>
        </w:tc>
        <w:tc>
          <w:tcPr>
            <w:tcW w:w="1274" w:type="pct"/>
            <w:vMerge/>
            <w:vAlign w:val="center"/>
          </w:tcPr>
          <w:p w:rsidR="00617AA0" w:rsidRPr="00580E94" w:rsidRDefault="00617AA0" w:rsidP="00F56636">
            <w:pPr>
              <w:jc w:val="center"/>
              <w:cnfStyle w:val="000000000000" w:firstRow="0" w:lastRow="0" w:firstColumn="0" w:lastColumn="0" w:oddVBand="0" w:evenVBand="0" w:oddHBand="0" w:evenHBand="0" w:firstRowFirstColumn="0" w:firstRowLastColumn="0" w:lastRowFirstColumn="0" w:lastRowLastColumn="0"/>
              <w:rPr>
                <w:smallCaps/>
                <w:sz w:val="16"/>
                <w:szCs w:val="16"/>
              </w:rPr>
            </w:pPr>
          </w:p>
        </w:tc>
        <w:tc>
          <w:tcPr>
            <w:tcW w:w="1464" w:type="pct"/>
            <w:vMerge/>
            <w:vAlign w:val="center"/>
          </w:tcPr>
          <w:p w:rsidR="00617AA0" w:rsidRPr="00580E94" w:rsidRDefault="00617AA0" w:rsidP="00F56636">
            <w:pPr>
              <w:jc w:val="center"/>
              <w:cnfStyle w:val="000000000000" w:firstRow="0" w:lastRow="0" w:firstColumn="0" w:lastColumn="0" w:oddVBand="0" w:evenVBand="0" w:oddHBand="0" w:evenHBand="0" w:firstRowFirstColumn="0" w:firstRowLastColumn="0" w:lastRowFirstColumn="0" w:lastRowLastColumn="0"/>
              <w:rPr>
                <w:smallCaps/>
                <w:sz w:val="16"/>
                <w:szCs w:val="16"/>
              </w:rPr>
            </w:pPr>
          </w:p>
        </w:tc>
      </w:tr>
    </w:tbl>
    <w:p w:rsidR="00617AA0" w:rsidRDefault="00617AA0" w:rsidP="00220468">
      <w:pPr>
        <w:rPr>
          <w:rFonts w:ascii="Arial" w:hAnsi="Arial" w:cs="Arial"/>
          <w:sz w:val="24"/>
          <w:szCs w:val="24"/>
        </w:rPr>
      </w:pPr>
    </w:p>
    <w:p w:rsidR="0068292A" w:rsidRDefault="0068292A" w:rsidP="00220468">
      <w:r>
        <w:rPr>
          <w:rFonts w:ascii="Arial" w:hAnsi="Arial" w:cs="Arial"/>
          <w:sz w:val="24"/>
          <w:szCs w:val="24"/>
        </w:rPr>
        <w:t xml:space="preserve"> </w:t>
      </w:r>
      <w:r>
        <w:t>Para el</w:t>
      </w:r>
      <w:r w:rsidRPr="00465A58">
        <w:t xml:space="preserve"> análisis de</w:t>
      </w:r>
      <w:r>
        <w:t>l espectro mostrado en la Fig. 2.</w:t>
      </w:r>
      <w:r w:rsidRPr="00465A58">
        <w:t xml:space="preserve"> se dividió por secciones indicadas con flechas para ser identificadas con números de sección que van del 1 al 8, cuyo a</w:t>
      </w:r>
      <w:r>
        <w:t xml:space="preserve">nálisis se muestra en la Tabla </w:t>
      </w:r>
      <w:r w:rsidR="00220468">
        <w:t>2</w:t>
      </w:r>
      <w:r w:rsidRPr="00465A58">
        <w:t>.</w:t>
      </w:r>
    </w:p>
    <w:p w:rsidR="00220468" w:rsidRPr="00C315FF" w:rsidRDefault="00220468" w:rsidP="00220468">
      <w:r w:rsidRPr="00C315FF">
        <w:t>Dentro de los cambios de un e</w:t>
      </w:r>
      <w:r>
        <w:t xml:space="preserve">spectro a otro se encontró que entre </w:t>
      </w:r>
      <w:r w:rsidRPr="00C315FF">
        <w:t>las secciones señaladas las más destacadas como sitios</w:t>
      </w:r>
      <w:r w:rsidRPr="007F72F9">
        <w:t xml:space="preserve"> </w:t>
      </w:r>
      <w:r w:rsidRPr="00C315FF">
        <w:t>activos en donde se da la remoc</w:t>
      </w:r>
      <w:r>
        <w:t>ión se encuentran los enlaces O</w:t>
      </w:r>
      <w:r w:rsidRPr="00C315FF">
        <w:t>H,</w:t>
      </w:r>
      <w:r>
        <w:t xml:space="preserve"> esto debido a la solvatación de los iones cromo en dichos grupos funcionales que se caracterizan por su polaridad.</w:t>
      </w:r>
    </w:p>
    <w:p w:rsidR="004C59B9" w:rsidRDefault="00220468" w:rsidP="004C59B9">
      <w:pPr>
        <w:pStyle w:val="Prrafodelista"/>
        <w:numPr>
          <w:ilvl w:val="0"/>
          <w:numId w:val="12"/>
        </w:numPr>
        <w:rPr>
          <w:rFonts w:cs="Times New Roman"/>
          <w:b/>
          <w:i/>
        </w:rPr>
      </w:pPr>
      <w:r w:rsidRPr="004C59B9">
        <w:rPr>
          <w:rFonts w:cs="Times New Roman"/>
          <w:b/>
          <w:i/>
        </w:rPr>
        <w:t>Análisis de adsorción en la columna</w:t>
      </w:r>
    </w:p>
    <w:p w:rsidR="00220468" w:rsidRDefault="004C59B9" w:rsidP="004C59B9">
      <w:r w:rsidRPr="004C59B9">
        <w:rPr>
          <w:lang w:val="es-ES"/>
        </w:rPr>
        <w:t xml:space="preserve"> En la Tabla 3</w:t>
      </w:r>
      <w:r w:rsidR="00220468" w:rsidRPr="004C59B9">
        <w:rPr>
          <w:lang w:val="es-ES"/>
        </w:rPr>
        <w:t xml:space="preserve"> se muestra el diseño experimental realizado en </w:t>
      </w:r>
      <w:proofErr w:type="spellStart"/>
      <w:r w:rsidR="00220468" w:rsidRPr="00BC67F6">
        <w:t>Statgraphics</w:t>
      </w:r>
      <w:proofErr w:type="spellEnd"/>
      <w:r w:rsidR="00220468">
        <w:t xml:space="preserve"> </w:t>
      </w:r>
      <w:proofErr w:type="spellStart"/>
      <w:r w:rsidR="00220468" w:rsidRPr="00BC67F6">
        <w:t>Centurion</w:t>
      </w:r>
      <w:proofErr w:type="spellEnd"/>
      <w:r w:rsidR="00220468" w:rsidRPr="00BC67F6">
        <w:t xml:space="preserve"> ®</w:t>
      </w:r>
      <w:r w:rsidR="00220468">
        <w:t xml:space="preserve"> y los valores de las variables de respuesta calculadas y medidas en los 16 ensayos. En esta se minimizó el número de variables usando el cociente que hay entre volumen del lecho con el caudal, denominado tiempo de residencia.</w:t>
      </w:r>
    </w:p>
    <w:p w:rsidR="00C3699B" w:rsidRDefault="00C3699B" w:rsidP="004C59B9">
      <w:r w:rsidRPr="00B31360">
        <w:rPr>
          <w:rFonts w:cs="Times New Roman"/>
          <w:b/>
          <w:bCs/>
          <w:sz w:val="16"/>
          <w:szCs w:val="18"/>
        </w:rPr>
        <w:t xml:space="preserve">Tabla 3. </w:t>
      </w:r>
      <w:r w:rsidR="00B31360" w:rsidRPr="00B31360">
        <w:rPr>
          <w:rFonts w:cs="Times New Roman"/>
          <w:b/>
          <w:bCs/>
          <w:sz w:val="16"/>
          <w:szCs w:val="18"/>
        </w:rPr>
        <w:t xml:space="preserve">ensayos experimentales y variables de respuestas medidas </w:t>
      </w:r>
    </w:p>
    <w:tbl>
      <w:tblPr>
        <w:tblStyle w:val="PlainTable2"/>
        <w:tblW w:w="0" w:type="auto"/>
        <w:tblLook w:val="04A0" w:firstRow="1" w:lastRow="0" w:firstColumn="1" w:lastColumn="0" w:noHBand="0" w:noVBand="1"/>
      </w:tblPr>
      <w:tblGrid>
        <w:gridCol w:w="789"/>
        <w:gridCol w:w="1221"/>
        <w:gridCol w:w="1221"/>
        <w:gridCol w:w="1070"/>
      </w:tblGrid>
      <w:tr w:rsidR="002242C8" w:rsidTr="00C369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rsidR="002242C8" w:rsidRPr="00AE1E61" w:rsidRDefault="002242C8" w:rsidP="00C3699B">
            <w:pPr>
              <w:ind w:firstLine="0"/>
              <w:jc w:val="center"/>
              <w:rPr>
                <w:sz w:val="16"/>
                <w:szCs w:val="16"/>
              </w:rPr>
            </w:pPr>
            <w:r w:rsidRPr="00AE1E61">
              <w:rPr>
                <w:sz w:val="16"/>
                <w:szCs w:val="16"/>
              </w:rPr>
              <w:t>Ensayo</w:t>
            </w:r>
          </w:p>
        </w:tc>
        <w:tc>
          <w:tcPr>
            <w:tcW w:w="1149" w:type="dxa"/>
            <w:vAlign w:val="center"/>
          </w:tcPr>
          <w:p w:rsidR="002242C8" w:rsidRPr="00AE1E61" w:rsidRDefault="002242C8" w:rsidP="00C3699B">
            <w:pPr>
              <w:jc w:val="center"/>
              <w:cnfStyle w:val="100000000000" w:firstRow="1" w:lastRow="0" w:firstColumn="0" w:lastColumn="0" w:oddVBand="0" w:evenVBand="0" w:oddHBand="0" w:evenHBand="0" w:firstRowFirstColumn="0" w:firstRowLastColumn="0" w:lastRowFirstColumn="0" w:lastRowLastColumn="0"/>
              <w:rPr>
                <w:sz w:val="16"/>
                <w:szCs w:val="16"/>
              </w:rPr>
            </w:pPr>
            <w:r w:rsidRPr="00AE1E61">
              <w:rPr>
                <w:sz w:val="16"/>
                <w:szCs w:val="16"/>
              </w:rPr>
              <w:t>Concentración</w:t>
            </w:r>
          </w:p>
          <w:p w:rsidR="002242C8" w:rsidRPr="00AE1E61" w:rsidRDefault="002242C8" w:rsidP="00C3699B">
            <w:pPr>
              <w:jc w:val="center"/>
              <w:cnfStyle w:val="100000000000" w:firstRow="1" w:lastRow="0" w:firstColumn="0" w:lastColumn="0" w:oddVBand="0" w:evenVBand="0" w:oddHBand="0" w:evenHBand="0" w:firstRowFirstColumn="0" w:firstRowLastColumn="0" w:lastRowFirstColumn="0" w:lastRowLastColumn="0"/>
              <w:rPr>
                <w:sz w:val="16"/>
                <w:szCs w:val="16"/>
              </w:rPr>
            </w:pPr>
            <w:r w:rsidRPr="00AE1E61">
              <w:rPr>
                <w:sz w:val="16"/>
                <w:szCs w:val="16"/>
              </w:rPr>
              <w:t>Inicial/(mg/l)</w:t>
            </w:r>
          </w:p>
          <w:p w:rsidR="002242C8" w:rsidRPr="00AE1E61" w:rsidRDefault="002242C8" w:rsidP="00C3699B">
            <w:pPr>
              <w:jc w:val="center"/>
              <w:cnfStyle w:val="100000000000" w:firstRow="1" w:lastRow="0" w:firstColumn="0" w:lastColumn="0" w:oddVBand="0" w:evenVBand="0" w:oddHBand="0" w:evenHBand="0" w:firstRowFirstColumn="0" w:firstRowLastColumn="0" w:lastRowFirstColumn="0" w:lastRowLastColumn="0"/>
              <w:rPr>
                <w:sz w:val="16"/>
                <w:szCs w:val="16"/>
              </w:rPr>
            </w:pPr>
          </w:p>
        </w:tc>
        <w:tc>
          <w:tcPr>
            <w:tcW w:w="1158" w:type="dxa"/>
            <w:vAlign w:val="center"/>
          </w:tcPr>
          <w:p w:rsidR="002242C8" w:rsidRPr="00AE1E61" w:rsidRDefault="002242C8" w:rsidP="00C3699B">
            <w:pPr>
              <w:ind w:firstLine="0"/>
              <w:jc w:val="center"/>
              <w:cnfStyle w:val="100000000000" w:firstRow="1" w:lastRow="0" w:firstColumn="0" w:lastColumn="0" w:oddVBand="0" w:evenVBand="0" w:oddHBand="0" w:evenHBand="0" w:firstRowFirstColumn="0" w:firstRowLastColumn="0" w:lastRowFirstColumn="0" w:lastRowLastColumn="0"/>
              <w:rPr>
                <w:sz w:val="16"/>
                <w:szCs w:val="16"/>
              </w:rPr>
            </w:pPr>
            <w:r w:rsidRPr="00AE1E61">
              <w:rPr>
                <w:sz w:val="16"/>
                <w:szCs w:val="16"/>
              </w:rPr>
              <w:t>Tiempo de residencia/min</w:t>
            </w:r>
          </w:p>
        </w:tc>
        <w:tc>
          <w:tcPr>
            <w:tcW w:w="972" w:type="dxa"/>
            <w:vAlign w:val="center"/>
          </w:tcPr>
          <w:p w:rsidR="002242C8" w:rsidRPr="00AE1E61" w:rsidRDefault="002242C8" w:rsidP="00C3699B">
            <w:pPr>
              <w:ind w:firstLine="0"/>
              <w:jc w:val="center"/>
              <w:cnfStyle w:val="100000000000" w:firstRow="1" w:lastRow="0" w:firstColumn="0" w:lastColumn="0" w:oddVBand="0" w:evenVBand="0" w:oddHBand="0" w:evenHBand="0" w:firstRowFirstColumn="0" w:firstRowLastColumn="0" w:lastRowFirstColumn="0" w:lastRowLastColumn="0"/>
              <w:rPr>
                <w:sz w:val="16"/>
                <w:szCs w:val="16"/>
              </w:rPr>
            </w:pPr>
            <w:r w:rsidRPr="00AE1E61">
              <w:rPr>
                <w:sz w:val="16"/>
                <w:szCs w:val="16"/>
              </w:rPr>
              <w:t>Tiempo de ruptura</w:t>
            </w:r>
            <w:r>
              <w:rPr>
                <w:sz w:val="16"/>
                <w:szCs w:val="16"/>
              </w:rPr>
              <w:t>/min</w:t>
            </w:r>
          </w:p>
        </w:tc>
      </w:tr>
      <w:tr w:rsidR="002242C8" w:rsidTr="00C369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rsidR="002242C8" w:rsidRPr="00984241" w:rsidRDefault="002242C8" w:rsidP="00C3699B">
            <w:pPr>
              <w:ind w:firstLine="0"/>
              <w:jc w:val="center"/>
              <w:rPr>
                <w:sz w:val="16"/>
                <w:szCs w:val="16"/>
              </w:rPr>
            </w:pPr>
            <w:r w:rsidRPr="00984241">
              <w:rPr>
                <w:sz w:val="16"/>
                <w:szCs w:val="16"/>
              </w:rPr>
              <w:t>1</w:t>
            </w:r>
          </w:p>
        </w:tc>
        <w:tc>
          <w:tcPr>
            <w:tcW w:w="1149" w:type="dxa"/>
            <w:vAlign w:val="center"/>
          </w:tcPr>
          <w:p w:rsidR="002242C8" w:rsidRPr="00984241" w:rsidRDefault="002242C8" w:rsidP="00C3699B">
            <w:pPr>
              <w:jc w:val="center"/>
              <w:cnfStyle w:val="000000100000" w:firstRow="0" w:lastRow="0" w:firstColumn="0" w:lastColumn="0" w:oddVBand="0" w:evenVBand="0" w:oddHBand="1" w:evenHBand="0" w:firstRowFirstColumn="0" w:firstRowLastColumn="0" w:lastRowFirstColumn="0" w:lastRowLastColumn="0"/>
              <w:rPr>
                <w:sz w:val="16"/>
                <w:szCs w:val="16"/>
              </w:rPr>
            </w:pPr>
            <w:r w:rsidRPr="00984241">
              <w:rPr>
                <w:sz w:val="16"/>
                <w:szCs w:val="16"/>
              </w:rPr>
              <w:t>70</w:t>
            </w:r>
          </w:p>
        </w:tc>
        <w:tc>
          <w:tcPr>
            <w:tcW w:w="1158" w:type="dxa"/>
            <w:vAlign w:val="center"/>
          </w:tcPr>
          <w:p w:rsidR="002242C8" w:rsidRPr="00984241" w:rsidRDefault="002242C8" w:rsidP="00C3699B">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7.2</w:t>
            </w:r>
          </w:p>
        </w:tc>
        <w:tc>
          <w:tcPr>
            <w:tcW w:w="972" w:type="dxa"/>
            <w:vAlign w:val="center"/>
          </w:tcPr>
          <w:p w:rsidR="002242C8" w:rsidRPr="00984241" w:rsidRDefault="002242C8" w:rsidP="00C3699B">
            <w:pPr>
              <w:jc w:val="center"/>
              <w:cnfStyle w:val="000000100000" w:firstRow="0" w:lastRow="0" w:firstColumn="0" w:lastColumn="0" w:oddVBand="0" w:evenVBand="0" w:oddHBand="1" w:evenHBand="0" w:firstRowFirstColumn="0" w:firstRowLastColumn="0" w:lastRowFirstColumn="0" w:lastRowLastColumn="0"/>
              <w:rPr>
                <w:sz w:val="16"/>
                <w:szCs w:val="16"/>
              </w:rPr>
            </w:pPr>
            <w:r w:rsidRPr="00984241">
              <w:rPr>
                <w:sz w:val="16"/>
                <w:szCs w:val="16"/>
              </w:rPr>
              <w:t>15</w:t>
            </w:r>
          </w:p>
        </w:tc>
      </w:tr>
      <w:tr w:rsidR="002242C8" w:rsidTr="00C3699B">
        <w:tc>
          <w:tcPr>
            <w:cnfStyle w:val="001000000000" w:firstRow="0" w:lastRow="0" w:firstColumn="1" w:lastColumn="0" w:oddVBand="0" w:evenVBand="0" w:oddHBand="0" w:evenHBand="0" w:firstRowFirstColumn="0" w:firstRowLastColumn="0" w:lastRowFirstColumn="0" w:lastRowLastColumn="0"/>
            <w:tcW w:w="789" w:type="dxa"/>
            <w:vAlign w:val="center"/>
          </w:tcPr>
          <w:p w:rsidR="002242C8" w:rsidRPr="00984241" w:rsidRDefault="002242C8" w:rsidP="00C3699B">
            <w:pPr>
              <w:ind w:firstLine="0"/>
              <w:jc w:val="center"/>
              <w:rPr>
                <w:sz w:val="16"/>
                <w:szCs w:val="16"/>
              </w:rPr>
            </w:pPr>
            <w:r w:rsidRPr="00984241">
              <w:rPr>
                <w:sz w:val="16"/>
                <w:szCs w:val="16"/>
              </w:rPr>
              <w:t>2</w:t>
            </w:r>
          </w:p>
        </w:tc>
        <w:tc>
          <w:tcPr>
            <w:tcW w:w="1149" w:type="dxa"/>
            <w:vAlign w:val="center"/>
          </w:tcPr>
          <w:p w:rsidR="002242C8" w:rsidRPr="00984241" w:rsidRDefault="002242C8" w:rsidP="00C3699B">
            <w:pPr>
              <w:jc w:val="center"/>
              <w:cnfStyle w:val="000000000000" w:firstRow="0" w:lastRow="0" w:firstColumn="0" w:lastColumn="0" w:oddVBand="0" w:evenVBand="0" w:oddHBand="0" w:evenHBand="0" w:firstRowFirstColumn="0" w:firstRowLastColumn="0" w:lastRowFirstColumn="0" w:lastRowLastColumn="0"/>
              <w:rPr>
                <w:sz w:val="16"/>
                <w:szCs w:val="16"/>
              </w:rPr>
            </w:pPr>
            <w:r w:rsidRPr="00984241">
              <w:rPr>
                <w:sz w:val="16"/>
                <w:szCs w:val="16"/>
              </w:rPr>
              <w:t>100</w:t>
            </w:r>
          </w:p>
        </w:tc>
        <w:tc>
          <w:tcPr>
            <w:tcW w:w="1158" w:type="dxa"/>
            <w:vAlign w:val="center"/>
          </w:tcPr>
          <w:p w:rsidR="002242C8" w:rsidRPr="00984241" w:rsidRDefault="002242C8" w:rsidP="00C3699B">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4.0</w:t>
            </w:r>
          </w:p>
        </w:tc>
        <w:tc>
          <w:tcPr>
            <w:tcW w:w="972" w:type="dxa"/>
            <w:vAlign w:val="center"/>
          </w:tcPr>
          <w:p w:rsidR="002242C8" w:rsidRPr="00984241" w:rsidRDefault="002242C8" w:rsidP="00C3699B">
            <w:pPr>
              <w:jc w:val="center"/>
              <w:cnfStyle w:val="000000000000" w:firstRow="0" w:lastRow="0" w:firstColumn="0" w:lastColumn="0" w:oddVBand="0" w:evenVBand="0" w:oddHBand="0" w:evenHBand="0" w:firstRowFirstColumn="0" w:firstRowLastColumn="0" w:lastRowFirstColumn="0" w:lastRowLastColumn="0"/>
              <w:rPr>
                <w:sz w:val="16"/>
                <w:szCs w:val="16"/>
              </w:rPr>
            </w:pPr>
            <w:r w:rsidRPr="00984241">
              <w:rPr>
                <w:sz w:val="16"/>
                <w:szCs w:val="16"/>
              </w:rPr>
              <w:t>120</w:t>
            </w:r>
          </w:p>
        </w:tc>
      </w:tr>
      <w:tr w:rsidR="002242C8" w:rsidTr="00C369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rsidR="002242C8" w:rsidRPr="00984241" w:rsidRDefault="002242C8" w:rsidP="00C3699B">
            <w:pPr>
              <w:ind w:firstLine="0"/>
              <w:jc w:val="center"/>
              <w:rPr>
                <w:sz w:val="16"/>
                <w:szCs w:val="16"/>
              </w:rPr>
            </w:pPr>
            <w:r w:rsidRPr="00984241">
              <w:rPr>
                <w:sz w:val="16"/>
                <w:szCs w:val="16"/>
              </w:rPr>
              <w:t>3</w:t>
            </w:r>
          </w:p>
        </w:tc>
        <w:tc>
          <w:tcPr>
            <w:tcW w:w="1149" w:type="dxa"/>
            <w:vAlign w:val="center"/>
          </w:tcPr>
          <w:p w:rsidR="002242C8" w:rsidRPr="00984241" w:rsidRDefault="002242C8" w:rsidP="00C3699B">
            <w:pPr>
              <w:jc w:val="center"/>
              <w:cnfStyle w:val="000000100000" w:firstRow="0" w:lastRow="0" w:firstColumn="0" w:lastColumn="0" w:oddVBand="0" w:evenVBand="0" w:oddHBand="1" w:evenHBand="0" w:firstRowFirstColumn="0" w:firstRowLastColumn="0" w:lastRowFirstColumn="0" w:lastRowLastColumn="0"/>
              <w:rPr>
                <w:sz w:val="16"/>
                <w:szCs w:val="16"/>
              </w:rPr>
            </w:pPr>
            <w:r w:rsidRPr="00984241">
              <w:rPr>
                <w:sz w:val="16"/>
                <w:szCs w:val="16"/>
              </w:rPr>
              <w:t>70</w:t>
            </w:r>
          </w:p>
        </w:tc>
        <w:tc>
          <w:tcPr>
            <w:tcW w:w="1158" w:type="dxa"/>
            <w:vAlign w:val="center"/>
          </w:tcPr>
          <w:p w:rsidR="002242C8" w:rsidRPr="00984241" w:rsidRDefault="002242C8" w:rsidP="00C3699B">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0.2</w:t>
            </w:r>
          </w:p>
        </w:tc>
        <w:tc>
          <w:tcPr>
            <w:tcW w:w="972" w:type="dxa"/>
            <w:vAlign w:val="center"/>
          </w:tcPr>
          <w:p w:rsidR="002242C8" w:rsidRPr="00984241" w:rsidRDefault="002242C8" w:rsidP="00C3699B">
            <w:pPr>
              <w:jc w:val="center"/>
              <w:cnfStyle w:val="000000100000" w:firstRow="0" w:lastRow="0" w:firstColumn="0" w:lastColumn="0" w:oddVBand="0" w:evenVBand="0" w:oddHBand="1" w:evenHBand="0" w:firstRowFirstColumn="0" w:firstRowLastColumn="0" w:lastRowFirstColumn="0" w:lastRowLastColumn="0"/>
              <w:rPr>
                <w:sz w:val="16"/>
                <w:szCs w:val="16"/>
              </w:rPr>
            </w:pPr>
            <w:r w:rsidRPr="00984241">
              <w:rPr>
                <w:sz w:val="16"/>
                <w:szCs w:val="16"/>
              </w:rPr>
              <w:t>30</w:t>
            </w:r>
          </w:p>
        </w:tc>
      </w:tr>
      <w:tr w:rsidR="002242C8" w:rsidTr="00C3699B">
        <w:tc>
          <w:tcPr>
            <w:cnfStyle w:val="001000000000" w:firstRow="0" w:lastRow="0" w:firstColumn="1" w:lastColumn="0" w:oddVBand="0" w:evenVBand="0" w:oddHBand="0" w:evenHBand="0" w:firstRowFirstColumn="0" w:firstRowLastColumn="0" w:lastRowFirstColumn="0" w:lastRowLastColumn="0"/>
            <w:tcW w:w="789" w:type="dxa"/>
            <w:vAlign w:val="center"/>
          </w:tcPr>
          <w:p w:rsidR="002242C8" w:rsidRPr="00984241" w:rsidRDefault="002242C8" w:rsidP="00C3699B">
            <w:pPr>
              <w:ind w:firstLine="0"/>
              <w:jc w:val="center"/>
              <w:rPr>
                <w:sz w:val="16"/>
                <w:szCs w:val="16"/>
              </w:rPr>
            </w:pPr>
            <w:r w:rsidRPr="00984241">
              <w:rPr>
                <w:sz w:val="16"/>
                <w:szCs w:val="16"/>
              </w:rPr>
              <w:t>4</w:t>
            </w:r>
          </w:p>
        </w:tc>
        <w:tc>
          <w:tcPr>
            <w:tcW w:w="1149" w:type="dxa"/>
            <w:vAlign w:val="center"/>
          </w:tcPr>
          <w:p w:rsidR="002242C8" w:rsidRPr="00984241" w:rsidRDefault="002242C8" w:rsidP="00C3699B">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19.5</w:t>
            </w:r>
          </w:p>
        </w:tc>
        <w:tc>
          <w:tcPr>
            <w:tcW w:w="1158" w:type="dxa"/>
            <w:vAlign w:val="center"/>
          </w:tcPr>
          <w:p w:rsidR="002242C8" w:rsidRPr="00984241" w:rsidRDefault="002242C8" w:rsidP="00C3699B">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3.7</w:t>
            </w:r>
          </w:p>
        </w:tc>
        <w:tc>
          <w:tcPr>
            <w:tcW w:w="972" w:type="dxa"/>
            <w:vAlign w:val="center"/>
          </w:tcPr>
          <w:p w:rsidR="002242C8" w:rsidRPr="00984241" w:rsidRDefault="002242C8" w:rsidP="00C3699B">
            <w:pPr>
              <w:jc w:val="center"/>
              <w:cnfStyle w:val="000000000000" w:firstRow="0" w:lastRow="0" w:firstColumn="0" w:lastColumn="0" w:oddVBand="0" w:evenVBand="0" w:oddHBand="0" w:evenHBand="0" w:firstRowFirstColumn="0" w:firstRowLastColumn="0" w:lastRowFirstColumn="0" w:lastRowLastColumn="0"/>
              <w:rPr>
                <w:sz w:val="16"/>
                <w:szCs w:val="16"/>
              </w:rPr>
            </w:pPr>
            <w:r w:rsidRPr="00984241">
              <w:rPr>
                <w:sz w:val="16"/>
                <w:szCs w:val="16"/>
              </w:rPr>
              <w:t>400</w:t>
            </w:r>
          </w:p>
        </w:tc>
      </w:tr>
      <w:tr w:rsidR="002242C8" w:rsidTr="00C369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rsidR="002242C8" w:rsidRPr="00984241" w:rsidRDefault="002242C8" w:rsidP="00C3699B">
            <w:pPr>
              <w:ind w:firstLine="0"/>
              <w:jc w:val="center"/>
              <w:rPr>
                <w:sz w:val="16"/>
                <w:szCs w:val="16"/>
              </w:rPr>
            </w:pPr>
            <w:r w:rsidRPr="00984241">
              <w:rPr>
                <w:sz w:val="16"/>
                <w:szCs w:val="16"/>
              </w:rPr>
              <w:t>5</w:t>
            </w:r>
          </w:p>
        </w:tc>
        <w:tc>
          <w:tcPr>
            <w:tcW w:w="1149" w:type="dxa"/>
            <w:vAlign w:val="center"/>
          </w:tcPr>
          <w:p w:rsidR="002242C8" w:rsidRPr="00984241" w:rsidRDefault="002242C8" w:rsidP="00C3699B">
            <w:pPr>
              <w:jc w:val="center"/>
              <w:cnfStyle w:val="000000100000" w:firstRow="0" w:lastRow="0" w:firstColumn="0" w:lastColumn="0" w:oddVBand="0" w:evenVBand="0" w:oddHBand="1" w:evenHBand="0" w:firstRowFirstColumn="0" w:firstRowLastColumn="0" w:lastRowFirstColumn="0" w:lastRowLastColumn="0"/>
              <w:rPr>
                <w:sz w:val="16"/>
                <w:szCs w:val="16"/>
              </w:rPr>
            </w:pPr>
            <w:r w:rsidRPr="00984241">
              <w:rPr>
                <w:sz w:val="16"/>
                <w:szCs w:val="16"/>
              </w:rPr>
              <w:t>70</w:t>
            </w:r>
          </w:p>
        </w:tc>
        <w:tc>
          <w:tcPr>
            <w:tcW w:w="1158" w:type="dxa"/>
            <w:vAlign w:val="center"/>
          </w:tcPr>
          <w:p w:rsidR="002242C8" w:rsidRPr="00984241" w:rsidRDefault="002242C8" w:rsidP="00C3699B">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2.1</w:t>
            </w:r>
          </w:p>
        </w:tc>
        <w:tc>
          <w:tcPr>
            <w:tcW w:w="972" w:type="dxa"/>
            <w:vAlign w:val="center"/>
          </w:tcPr>
          <w:p w:rsidR="002242C8" w:rsidRPr="00984241" w:rsidRDefault="002242C8" w:rsidP="00C3699B">
            <w:pPr>
              <w:jc w:val="center"/>
              <w:cnfStyle w:val="000000100000" w:firstRow="0" w:lastRow="0" w:firstColumn="0" w:lastColumn="0" w:oddVBand="0" w:evenVBand="0" w:oddHBand="1" w:evenHBand="0" w:firstRowFirstColumn="0" w:firstRowLastColumn="0" w:lastRowFirstColumn="0" w:lastRowLastColumn="0"/>
              <w:rPr>
                <w:sz w:val="16"/>
                <w:szCs w:val="16"/>
              </w:rPr>
            </w:pPr>
            <w:r w:rsidRPr="00984241">
              <w:rPr>
                <w:sz w:val="16"/>
                <w:szCs w:val="16"/>
              </w:rPr>
              <w:t>10</w:t>
            </w:r>
          </w:p>
        </w:tc>
      </w:tr>
      <w:tr w:rsidR="002242C8" w:rsidTr="00C3699B">
        <w:tc>
          <w:tcPr>
            <w:cnfStyle w:val="001000000000" w:firstRow="0" w:lastRow="0" w:firstColumn="1" w:lastColumn="0" w:oddVBand="0" w:evenVBand="0" w:oddHBand="0" w:evenHBand="0" w:firstRowFirstColumn="0" w:firstRowLastColumn="0" w:lastRowFirstColumn="0" w:lastRowLastColumn="0"/>
            <w:tcW w:w="789" w:type="dxa"/>
            <w:vAlign w:val="center"/>
          </w:tcPr>
          <w:p w:rsidR="002242C8" w:rsidRPr="00984241" w:rsidRDefault="002242C8" w:rsidP="00C3699B">
            <w:pPr>
              <w:ind w:firstLine="0"/>
              <w:jc w:val="center"/>
              <w:rPr>
                <w:sz w:val="16"/>
                <w:szCs w:val="16"/>
              </w:rPr>
            </w:pPr>
            <w:r w:rsidRPr="00984241">
              <w:rPr>
                <w:sz w:val="16"/>
                <w:szCs w:val="16"/>
              </w:rPr>
              <w:t>6</w:t>
            </w:r>
          </w:p>
        </w:tc>
        <w:tc>
          <w:tcPr>
            <w:tcW w:w="1149" w:type="dxa"/>
            <w:vAlign w:val="center"/>
          </w:tcPr>
          <w:p w:rsidR="002242C8" w:rsidRPr="00984241" w:rsidRDefault="002242C8" w:rsidP="00C3699B">
            <w:pPr>
              <w:jc w:val="center"/>
              <w:cnfStyle w:val="000000000000" w:firstRow="0" w:lastRow="0" w:firstColumn="0" w:lastColumn="0" w:oddVBand="0" w:evenVBand="0" w:oddHBand="0" w:evenHBand="0" w:firstRowFirstColumn="0" w:firstRowLastColumn="0" w:lastRowFirstColumn="0" w:lastRowLastColumn="0"/>
              <w:rPr>
                <w:sz w:val="16"/>
                <w:szCs w:val="16"/>
              </w:rPr>
            </w:pPr>
            <w:r w:rsidRPr="00984241">
              <w:rPr>
                <w:sz w:val="16"/>
                <w:szCs w:val="16"/>
              </w:rPr>
              <w:t>70</w:t>
            </w:r>
          </w:p>
        </w:tc>
        <w:tc>
          <w:tcPr>
            <w:tcW w:w="1158" w:type="dxa"/>
            <w:vAlign w:val="center"/>
          </w:tcPr>
          <w:p w:rsidR="002242C8" w:rsidRPr="00984241" w:rsidRDefault="002242C8" w:rsidP="00C3699B">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13.3</w:t>
            </w:r>
          </w:p>
        </w:tc>
        <w:tc>
          <w:tcPr>
            <w:tcW w:w="972" w:type="dxa"/>
            <w:vAlign w:val="center"/>
          </w:tcPr>
          <w:p w:rsidR="002242C8" w:rsidRPr="00984241" w:rsidRDefault="002242C8" w:rsidP="00C3699B">
            <w:pPr>
              <w:jc w:val="center"/>
              <w:cnfStyle w:val="000000000000" w:firstRow="0" w:lastRow="0" w:firstColumn="0" w:lastColumn="0" w:oddVBand="0" w:evenVBand="0" w:oddHBand="0" w:evenHBand="0" w:firstRowFirstColumn="0" w:firstRowLastColumn="0" w:lastRowFirstColumn="0" w:lastRowLastColumn="0"/>
              <w:rPr>
                <w:sz w:val="16"/>
                <w:szCs w:val="16"/>
              </w:rPr>
            </w:pPr>
            <w:r w:rsidRPr="00984241">
              <w:rPr>
                <w:sz w:val="16"/>
                <w:szCs w:val="16"/>
              </w:rPr>
              <w:t>90</w:t>
            </w:r>
          </w:p>
        </w:tc>
      </w:tr>
      <w:tr w:rsidR="002242C8" w:rsidTr="00C369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rsidR="002242C8" w:rsidRPr="00984241" w:rsidRDefault="002242C8" w:rsidP="00C3699B">
            <w:pPr>
              <w:ind w:firstLine="0"/>
              <w:jc w:val="center"/>
              <w:rPr>
                <w:sz w:val="16"/>
                <w:szCs w:val="16"/>
              </w:rPr>
            </w:pPr>
            <w:r w:rsidRPr="00984241">
              <w:rPr>
                <w:sz w:val="16"/>
                <w:szCs w:val="16"/>
              </w:rPr>
              <w:t>7</w:t>
            </w:r>
          </w:p>
        </w:tc>
        <w:tc>
          <w:tcPr>
            <w:tcW w:w="1149" w:type="dxa"/>
            <w:vAlign w:val="center"/>
          </w:tcPr>
          <w:p w:rsidR="002242C8" w:rsidRPr="00984241" w:rsidRDefault="002242C8" w:rsidP="00C3699B">
            <w:pPr>
              <w:jc w:val="center"/>
              <w:cnfStyle w:val="000000100000" w:firstRow="0" w:lastRow="0" w:firstColumn="0" w:lastColumn="0" w:oddVBand="0" w:evenVBand="0" w:oddHBand="1" w:evenHBand="0" w:firstRowFirstColumn="0" w:firstRowLastColumn="0" w:lastRowFirstColumn="0" w:lastRowLastColumn="0"/>
              <w:rPr>
                <w:sz w:val="16"/>
                <w:szCs w:val="16"/>
              </w:rPr>
            </w:pPr>
            <w:r w:rsidRPr="00984241">
              <w:rPr>
                <w:sz w:val="16"/>
                <w:szCs w:val="16"/>
              </w:rPr>
              <w:t>100</w:t>
            </w:r>
          </w:p>
        </w:tc>
        <w:tc>
          <w:tcPr>
            <w:tcW w:w="1158" w:type="dxa"/>
            <w:vAlign w:val="center"/>
          </w:tcPr>
          <w:p w:rsidR="002242C8" w:rsidRPr="00984241" w:rsidRDefault="002242C8" w:rsidP="00C3699B">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1.1</w:t>
            </w:r>
          </w:p>
        </w:tc>
        <w:tc>
          <w:tcPr>
            <w:tcW w:w="972" w:type="dxa"/>
            <w:vAlign w:val="center"/>
          </w:tcPr>
          <w:p w:rsidR="002242C8" w:rsidRPr="00984241" w:rsidRDefault="002242C8" w:rsidP="00C3699B">
            <w:pPr>
              <w:jc w:val="center"/>
              <w:cnfStyle w:val="000000100000" w:firstRow="0" w:lastRow="0" w:firstColumn="0" w:lastColumn="0" w:oddVBand="0" w:evenVBand="0" w:oddHBand="1" w:evenHBand="0" w:firstRowFirstColumn="0" w:firstRowLastColumn="0" w:lastRowFirstColumn="0" w:lastRowLastColumn="0"/>
              <w:rPr>
                <w:sz w:val="16"/>
                <w:szCs w:val="16"/>
              </w:rPr>
            </w:pPr>
            <w:r w:rsidRPr="00984241">
              <w:rPr>
                <w:sz w:val="16"/>
                <w:szCs w:val="16"/>
              </w:rPr>
              <w:t>125</w:t>
            </w:r>
          </w:p>
        </w:tc>
      </w:tr>
      <w:tr w:rsidR="002242C8" w:rsidTr="00C3699B">
        <w:tc>
          <w:tcPr>
            <w:cnfStyle w:val="001000000000" w:firstRow="0" w:lastRow="0" w:firstColumn="1" w:lastColumn="0" w:oddVBand="0" w:evenVBand="0" w:oddHBand="0" w:evenHBand="0" w:firstRowFirstColumn="0" w:firstRowLastColumn="0" w:lastRowFirstColumn="0" w:lastRowLastColumn="0"/>
            <w:tcW w:w="789" w:type="dxa"/>
            <w:vAlign w:val="center"/>
          </w:tcPr>
          <w:p w:rsidR="002242C8" w:rsidRPr="00984241" w:rsidRDefault="002242C8" w:rsidP="00C3699B">
            <w:pPr>
              <w:ind w:firstLine="0"/>
              <w:jc w:val="center"/>
              <w:rPr>
                <w:sz w:val="16"/>
                <w:szCs w:val="16"/>
              </w:rPr>
            </w:pPr>
            <w:r w:rsidRPr="00984241">
              <w:rPr>
                <w:sz w:val="16"/>
                <w:szCs w:val="16"/>
              </w:rPr>
              <w:t>8</w:t>
            </w:r>
          </w:p>
        </w:tc>
        <w:tc>
          <w:tcPr>
            <w:tcW w:w="1149" w:type="dxa"/>
            <w:vAlign w:val="center"/>
          </w:tcPr>
          <w:p w:rsidR="002242C8" w:rsidRPr="00984241" w:rsidRDefault="002242C8" w:rsidP="00C3699B">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120.4</w:t>
            </w:r>
          </w:p>
        </w:tc>
        <w:tc>
          <w:tcPr>
            <w:tcW w:w="1158" w:type="dxa"/>
            <w:vAlign w:val="center"/>
          </w:tcPr>
          <w:p w:rsidR="002242C8" w:rsidRPr="00984241" w:rsidRDefault="002242C8" w:rsidP="00C3699B">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3.7</w:t>
            </w:r>
          </w:p>
        </w:tc>
        <w:tc>
          <w:tcPr>
            <w:tcW w:w="972" w:type="dxa"/>
            <w:vAlign w:val="center"/>
          </w:tcPr>
          <w:p w:rsidR="002242C8" w:rsidRPr="00984241" w:rsidRDefault="002242C8" w:rsidP="00C3699B">
            <w:pPr>
              <w:jc w:val="center"/>
              <w:cnfStyle w:val="000000000000" w:firstRow="0" w:lastRow="0" w:firstColumn="0" w:lastColumn="0" w:oddVBand="0" w:evenVBand="0" w:oddHBand="0" w:evenHBand="0" w:firstRowFirstColumn="0" w:firstRowLastColumn="0" w:lastRowFirstColumn="0" w:lastRowLastColumn="0"/>
              <w:rPr>
                <w:sz w:val="16"/>
                <w:szCs w:val="16"/>
              </w:rPr>
            </w:pPr>
            <w:r w:rsidRPr="00984241">
              <w:rPr>
                <w:sz w:val="16"/>
                <w:szCs w:val="16"/>
              </w:rPr>
              <w:t>30</w:t>
            </w:r>
          </w:p>
        </w:tc>
      </w:tr>
      <w:tr w:rsidR="002242C8" w:rsidTr="00C369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rsidR="002242C8" w:rsidRPr="00984241" w:rsidRDefault="002242C8" w:rsidP="00C3699B">
            <w:pPr>
              <w:ind w:firstLine="0"/>
              <w:jc w:val="center"/>
              <w:rPr>
                <w:sz w:val="16"/>
                <w:szCs w:val="16"/>
              </w:rPr>
            </w:pPr>
            <w:r w:rsidRPr="00984241">
              <w:rPr>
                <w:sz w:val="16"/>
                <w:szCs w:val="16"/>
              </w:rPr>
              <w:t>9</w:t>
            </w:r>
          </w:p>
        </w:tc>
        <w:tc>
          <w:tcPr>
            <w:tcW w:w="1149" w:type="dxa"/>
            <w:vAlign w:val="center"/>
          </w:tcPr>
          <w:p w:rsidR="002242C8" w:rsidRPr="00984241" w:rsidRDefault="002242C8" w:rsidP="00C3699B">
            <w:pPr>
              <w:jc w:val="center"/>
              <w:cnfStyle w:val="000000100000" w:firstRow="0" w:lastRow="0" w:firstColumn="0" w:lastColumn="0" w:oddVBand="0" w:evenVBand="0" w:oddHBand="1" w:evenHBand="0" w:firstRowFirstColumn="0" w:firstRowLastColumn="0" w:lastRowFirstColumn="0" w:lastRowLastColumn="0"/>
              <w:rPr>
                <w:sz w:val="16"/>
                <w:szCs w:val="16"/>
              </w:rPr>
            </w:pPr>
            <w:r w:rsidRPr="00984241">
              <w:rPr>
                <w:sz w:val="16"/>
                <w:szCs w:val="16"/>
              </w:rPr>
              <w:t>40</w:t>
            </w:r>
          </w:p>
        </w:tc>
        <w:tc>
          <w:tcPr>
            <w:tcW w:w="1158" w:type="dxa"/>
            <w:vAlign w:val="center"/>
          </w:tcPr>
          <w:p w:rsidR="002242C8" w:rsidRPr="00984241" w:rsidRDefault="002242C8" w:rsidP="00C3699B">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10.1</w:t>
            </w:r>
          </w:p>
        </w:tc>
        <w:tc>
          <w:tcPr>
            <w:tcW w:w="972" w:type="dxa"/>
            <w:vAlign w:val="center"/>
          </w:tcPr>
          <w:p w:rsidR="002242C8" w:rsidRPr="00984241" w:rsidRDefault="002242C8" w:rsidP="00C3699B">
            <w:pPr>
              <w:jc w:val="center"/>
              <w:cnfStyle w:val="000000100000" w:firstRow="0" w:lastRow="0" w:firstColumn="0" w:lastColumn="0" w:oddVBand="0" w:evenVBand="0" w:oddHBand="1" w:evenHBand="0" w:firstRowFirstColumn="0" w:firstRowLastColumn="0" w:lastRowFirstColumn="0" w:lastRowLastColumn="0"/>
              <w:rPr>
                <w:sz w:val="16"/>
                <w:szCs w:val="16"/>
              </w:rPr>
            </w:pPr>
            <w:r w:rsidRPr="00984241">
              <w:rPr>
                <w:sz w:val="16"/>
                <w:szCs w:val="16"/>
              </w:rPr>
              <w:t>60</w:t>
            </w:r>
          </w:p>
        </w:tc>
      </w:tr>
      <w:tr w:rsidR="002242C8" w:rsidTr="00C3699B">
        <w:tc>
          <w:tcPr>
            <w:cnfStyle w:val="001000000000" w:firstRow="0" w:lastRow="0" w:firstColumn="1" w:lastColumn="0" w:oddVBand="0" w:evenVBand="0" w:oddHBand="0" w:evenHBand="0" w:firstRowFirstColumn="0" w:firstRowLastColumn="0" w:lastRowFirstColumn="0" w:lastRowLastColumn="0"/>
            <w:tcW w:w="789" w:type="dxa"/>
            <w:vAlign w:val="center"/>
          </w:tcPr>
          <w:p w:rsidR="002242C8" w:rsidRPr="00984241" w:rsidRDefault="002242C8" w:rsidP="00C3699B">
            <w:pPr>
              <w:ind w:firstLine="0"/>
              <w:jc w:val="center"/>
              <w:rPr>
                <w:sz w:val="16"/>
                <w:szCs w:val="16"/>
              </w:rPr>
            </w:pPr>
            <w:r w:rsidRPr="00984241">
              <w:rPr>
                <w:sz w:val="16"/>
                <w:szCs w:val="16"/>
              </w:rPr>
              <w:t>10</w:t>
            </w:r>
          </w:p>
        </w:tc>
        <w:tc>
          <w:tcPr>
            <w:tcW w:w="1149" w:type="dxa"/>
            <w:vAlign w:val="center"/>
          </w:tcPr>
          <w:p w:rsidR="002242C8" w:rsidRPr="00984241" w:rsidRDefault="002242C8" w:rsidP="00C3699B">
            <w:pPr>
              <w:jc w:val="center"/>
              <w:cnfStyle w:val="000000000000" w:firstRow="0" w:lastRow="0" w:firstColumn="0" w:lastColumn="0" w:oddVBand="0" w:evenVBand="0" w:oddHBand="0" w:evenHBand="0" w:firstRowFirstColumn="0" w:firstRowLastColumn="0" w:lastRowFirstColumn="0" w:lastRowLastColumn="0"/>
              <w:rPr>
                <w:sz w:val="16"/>
                <w:szCs w:val="16"/>
              </w:rPr>
            </w:pPr>
            <w:r w:rsidRPr="00984241">
              <w:rPr>
                <w:sz w:val="16"/>
                <w:szCs w:val="16"/>
              </w:rPr>
              <w:t>40</w:t>
            </w:r>
          </w:p>
        </w:tc>
        <w:tc>
          <w:tcPr>
            <w:tcW w:w="1158" w:type="dxa"/>
            <w:vAlign w:val="center"/>
          </w:tcPr>
          <w:p w:rsidR="002242C8" w:rsidRPr="00984241" w:rsidRDefault="002242C8" w:rsidP="00C3699B">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2.9</w:t>
            </w:r>
          </w:p>
        </w:tc>
        <w:tc>
          <w:tcPr>
            <w:tcW w:w="972" w:type="dxa"/>
            <w:vAlign w:val="center"/>
          </w:tcPr>
          <w:p w:rsidR="002242C8" w:rsidRPr="00984241" w:rsidRDefault="002242C8" w:rsidP="00C3699B">
            <w:pPr>
              <w:jc w:val="center"/>
              <w:cnfStyle w:val="000000000000" w:firstRow="0" w:lastRow="0" w:firstColumn="0" w:lastColumn="0" w:oddVBand="0" w:evenVBand="0" w:oddHBand="0" w:evenHBand="0" w:firstRowFirstColumn="0" w:firstRowLastColumn="0" w:lastRowFirstColumn="0" w:lastRowLastColumn="0"/>
              <w:rPr>
                <w:sz w:val="16"/>
                <w:szCs w:val="16"/>
              </w:rPr>
            </w:pPr>
            <w:r w:rsidRPr="00984241">
              <w:rPr>
                <w:sz w:val="16"/>
                <w:szCs w:val="16"/>
              </w:rPr>
              <w:t>35</w:t>
            </w:r>
          </w:p>
        </w:tc>
      </w:tr>
      <w:tr w:rsidR="002242C8" w:rsidTr="00C369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rsidR="002242C8" w:rsidRPr="00984241" w:rsidRDefault="002242C8" w:rsidP="00C3699B">
            <w:pPr>
              <w:ind w:firstLine="0"/>
              <w:jc w:val="center"/>
              <w:rPr>
                <w:sz w:val="16"/>
                <w:szCs w:val="16"/>
              </w:rPr>
            </w:pPr>
            <w:r w:rsidRPr="00984241">
              <w:rPr>
                <w:sz w:val="16"/>
                <w:szCs w:val="16"/>
              </w:rPr>
              <w:t>11</w:t>
            </w:r>
          </w:p>
        </w:tc>
        <w:tc>
          <w:tcPr>
            <w:tcW w:w="1149" w:type="dxa"/>
            <w:vAlign w:val="center"/>
          </w:tcPr>
          <w:p w:rsidR="002242C8" w:rsidRPr="00984241" w:rsidRDefault="002242C8" w:rsidP="00C3699B">
            <w:pPr>
              <w:jc w:val="center"/>
              <w:cnfStyle w:val="000000100000" w:firstRow="0" w:lastRow="0" w:firstColumn="0" w:lastColumn="0" w:oddVBand="0" w:evenVBand="0" w:oddHBand="1" w:evenHBand="0" w:firstRowFirstColumn="0" w:firstRowLastColumn="0" w:lastRowFirstColumn="0" w:lastRowLastColumn="0"/>
              <w:rPr>
                <w:sz w:val="16"/>
                <w:szCs w:val="16"/>
              </w:rPr>
            </w:pPr>
            <w:r w:rsidRPr="00984241">
              <w:rPr>
                <w:sz w:val="16"/>
                <w:szCs w:val="16"/>
              </w:rPr>
              <w:t>70</w:t>
            </w:r>
          </w:p>
        </w:tc>
        <w:tc>
          <w:tcPr>
            <w:tcW w:w="1158" w:type="dxa"/>
            <w:vAlign w:val="center"/>
          </w:tcPr>
          <w:p w:rsidR="002242C8" w:rsidRPr="00984241" w:rsidRDefault="002242C8" w:rsidP="00C3699B">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3.7</w:t>
            </w:r>
          </w:p>
        </w:tc>
        <w:tc>
          <w:tcPr>
            <w:tcW w:w="972" w:type="dxa"/>
            <w:vAlign w:val="center"/>
          </w:tcPr>
          <w:p w:rsidR="002242C8" w:rsidRPr="00984241" w:rsidRDefault="002242C8" w:rsidP="00C3699B">
            <w:pPr>
              <w:jc w:val="center"/>
              <w:cnfStyle w:val="000000100000" w:firstRow="0" w:lastRow="0" w:firstColumn="0" w:lastColumn="0" w:oddVBand="0" w:evenVBand="0" w:oddHBand="1" w:evenHBand="0" w:firstRowFirstColumn="0" w:firstRowLastColumn="0" w:lastRowFirstColumn="0" w:lastRowLastColumn="0"/>
              <w:rPr>
                <w:sz w:val="16"/>
                <w:szCs w:val="16"/>
              </w:rPr>
            </w:pPr>
            <w:r w:rsidRPr="00984241">
              <w:rPr>
                <w:sz w:val="16"/>
                <w:szCs w:val="16"/>
              </w:rPr>
              <w:t>15</w:t>
            </w:r>
          </w:p>
        </w:tc>
      </w:tr>
      <w:tr w:rsidR="002242C8" w:rsidTr="00C3699B">
        <w:tc>
          <w:tcPr>
            <w:cnfStyle w:val="001000000000" w:firstRow="0" w:lastRow="0" w:firstColumn="1" w:lastColumn="0" w:oddVBand="0" w:evenVBand="0" w:oddHBand="0" w:evenHBand="0" w:firstRowFirstColumn="0" w:firstRowLastColumn="0" w:lastRowFirstColumn="0" w:lastRowLastColumn="0"/>
            <w:tcW w:w="789" w:type="dxa"/>
            <w:vAlign w:val="center"/>
          </w:tcPr>
          <w:p w:rsidR="002242C8" w:rsidRPr="00984241" w:rsidRDefault="002242C8" w:rsidP="00C3699B">
            <w:pPr>
              <w:ind w:firstLine="0"/>
              <w:jc w:val="center"/>
              <w:rPr>
                <w:sz w:val="16"/>
                <w:szCs w:val="16"/>
              </w:rPr>
            </w:pPr>
            <w:r w:rsidRPr="00984241">
              <w:rPr>
                <w:sz w:val="16"/>
                <w:szCs w:val="16"/>
              </w:rPr>
              <w:t>12</w:t>
            </w:r>
          </w:p>
        </w:tc>
        <w:tc>
          <w:tcPr>
            <w:tcW w:w="1149" w:type="dxa"/>
            <w:vAlign w:val="center"/>
          </w:tcPr>
          <w:p w:rsidR="002242C8" w:rsidRPr="00984241" w:rsidRDefault="002242C8" w:rsidP="00C3699B">
            <w:pPr>
              <w:jc w:val="center"/>
              <w:cnfStyle w:val="000000000000" w:firstRow="0" w:lastRow="0" w:firstColumn="0" w:lastColumn="0" w:oddVBand="0" w:evenVBand="0" w:oddHBand="0" w:evenHBand="0" w:firstRowFirstColumn="0" w:firstRowLastColumn="0" w:lastRowFirstColumn="0" w:lastRowLastColumn="0"/>
              <w:rPr>
                <w:sz w:val="16"/>
                <w:szCs w:val="16"/>
              </w:rPr>
            </w:pPr>
            <w:r w:rsidRPr="00984241">
              <w:rPr>
                <w:sz w:val="16"/>
                <w:szCs w:val="16"/>
              </w:rPr>
              <w:t>100</w:t>
            </w:r>
          </w:p>
        </w:tc>
        <w:tc>
          <w:tcPr>
            <w:tcW w:w="1158" w:type="dxa"/>
            <w:vAlign w:val="center"/>
          </w:tcPr>
          <w:p w:rsidR="002242C8" w:rsidRPr="00984241" w:rsidRDefault="002242C8" w:rsidP="00C3699B">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10.1</w:t>
            </w:r>
          </w:p>
        </w:tc>
        <w:tc>
          <w:tcPr>
            <w:tcW w:w="972" w:type="dxa"/>
            <w:vAlign w:val="center"/>
          </w:tcPr>
          <w:p w:rsidR="002242C8" w:rsidRPr="00984241" w:rsidRDefault="002242C8" w:rsidP="00C3699B">
            <w:pPr>
              <w:jc w:val="center"/>
              <w:cnfStyle w:val="000000000000" w:firstRow="0" w:lastRow="0" w:firstColumn="0" w:lastColumn="0" w:oddVBand="0" w:evenVBand="0" w:oddHBand="0" w:evenHBand="0" w:firstRowFirstColumn="0" w:firstRowLastColumn="0" w:lastRowFirstColumn="0" w:lastRowLastColumn="0"/>
              <w:rPr>
                <w:sz w:val="16"/>
                <w:szCs w:val="16"/>
              </w:rPr>
            </w:pPr>
            <w:r w:rsidRPr="00984241">
              <w:rPr>
                <w:sz w:val="16"/>
                <w:szCs w:val="16"/>
              </w:rPr>
              <w:t>40</w:t>
            </w:r>
          </w:p>
        </w:tc>
      </w:tr>
      <w:tr w:rsidR="002242C8" w:rsidTr="00C369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rsidR="002242C8" w:rsidRPr="00984241" w:rsidRDefault="002242C8" w:rsidP="00C3699B">
            <w:pPr>
              <w:ind w:firstLine="0"/>
              <w:jc w:val="center"/>
              <w:rPr>
                <w:sz w:val="16"/>
                <w:szCs w:val="16"/>
              </w:rPr>
            </w:pPr>
            <w:r w:rsidRPr="00984241">
              <w:rPr>
                <w:sz w:val="16"/>
                <w:szCs w:val="16"/>
              </w:rPr>
              <w:t>13</w:t>
            </w:r>
          </w:p>
        </w:tc>
        <w:tc>
          <w:tcPr>
            <w:tcW w:w="1149" w:type="dxa"/>
            <w:vAlign w:val="center"/>
          </w:tcPr>
          <w:p w:rsidR="002242C8" w:rsidRPr="00984241" w:rsidRDefault="002242C8" w:rsidP="00C3699B">
            <w:pPr>
              <w:jc w:val="center"/>
              <w:cnfStyle w:val="000000100000" w:firstRow="0" w:lastRow="0" w:firstColumn="0" w:lastColumn="0" w:oddVBand="0" w:evenVBand="0" w:oddHBand="1" w:evenHBand="0" w:firstRowFirstColumn="0" w:firstRowLastColumn="0" w:lastRowFirstColumn="0" w:lastRowLastColumn="0"/>
              <w:rPr>
                <w:sz w:val="16"/>
                <w:szCs w:val="16"/>
              </w:rPr>
            </w:pPr>
            <w:r w:rsidRPr="00984241">
              <w:rPr>
                <w:sz w:val="16"/>
                <w:szCs w:val="16"/>
              </w:rPr>
              <w:t>70</w:t>
            </w:r>
          </w:p>
        </w:tc>
        <w:tc>
          <w:tcPr>
            <w:tcW w:w="1158" w:type="dxa"/>
            <w:vAlign w:val="center"/>
          </w:tcPr>
          <w:p w:rsidR="002242C8" w:rsidRPr="00984241" w:rsidRDefault="002242C8" w:rsidP="00C3699B">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4.3</w:t>
            </w:r>
          </w:p>
        </w:tc>
        <w:tc>
          <w:tcPr>
            <w:tcW w:w="972" w:type="dxa"/>
            <w:vAlign w:val="center"/>
          </w:tcPr>
          <w:p w:rsidR="002242C8" w:rsidRPr="00984241" w:rsidRDefault="002242C8" w:rsidP="00C3699B">
            <w:pPr>
              <w:jc w:val="center"/>
              <w:cnfStyle w:val="000000100000" w:firstRow="0" w:lastRow="0" w:firstColumn="0" w:lastColumn="0" w:oddVBand="0" w:evenVBand="0" w:oddHBand="1" w:evenHBand="0" w:firstRowFirstColumn="0" w:firstRowLastColumn="0" w:lastRowFirstColumn="0" w:lastRowLastColumn="0"/>
              <w:rPr>
                <w:sz w:val="16"/>
                <w:szCs w:val="16"/>
              </w:rPr>
            </w:pPr>
            <w:r w:rsidRPr="00984241">
              <w:rPr>
                <w:sz w:val="16"/>
                <w:szCs w:val="16"/>
              </w:rPr>
              <w:t>20</w:t>
            </w:r>
          </w:p>
        </w:tc>
      </w:tr>
      <w:tr w:rsidR="002242C8" w:rsidTr="00C3699B">
        <w:tc>
          <w:tcPr>
            <w:cnfStyle w:val="001000000000" w:firstRow="0" w:lastRow="0" w:firstColumn="1" w:lastColumn="0" w:oddVBand="0" w:evenVBand="0" w:oddHBand="0" w:evenHBand="0" w:firstRowFirstColumn="0" w:firstRowLastColumn="0" w:lastRowFirstColumn="0" w:lastRowLastColumn="0"/>
            <w:tcW w:w="789" w:type="dxa"/>
            <w:vAlign w:val="center"/>
          </w:tcPr>
          <w:p w:rsidR="002242C8" w:rsidRPr="00984241" w:rsidRDefault="002242C8" w:rsidP="00C3699B">
            <w:pPr>
              <w:ind w:firstLine="0"/>
              <w:jc w:val="center"/>
              <w:rPr>
                <w:sz w:val="16"/>
                <w:szCs w:val="16"/>
              </w:rPr>
            </w:pPr>
            <w:r w:rsidRPr="00984241">
              <w:rPr>
                <w:sz w:val="16"/>
                <w:szCs w:val="16"/>
              </w:rPr>
              <w:t>14</w:t>
            </w:r>
          </w:p>
        </w:tc>
        <w:tc>
          <w:tcPr>
            <w:tcW w:w="1149" w:type="dxa"/>
            <w:vAlign w:val="center"/>
          </w:tcPr>
          <w:p w:rsidR="002242C8" w:rsidRPr="00984241" w:rsidRDefault="002242C8" w:rsidP="00C3699B">
            <w:pPr>
              <w:jc w:val="center"/>
              <w:cnfStyle w:val="000000000000" w:firstRow="0" w:lastRow="0" w:firstColumn="0" w:lastColumn="0" w:oddVBand="0" w:evenVBand="0" w:oddHBand="0" w:evenHBand="0" w:firstRowFirstColumn="0" w:firstRowLastColumn="0" w:lastRowFirstColumn="0" w:lastRowLastColumn="0"/>
              <w:rPr>
                <w:sz w:val="16"/>
                <w:szCs w:val="16"/>
              </w:rPr>
            </w:pPr>
            <w:r w:rsidRPr="00984241">
              <w:rPr>
                <w:sz w:val="16"/>
                <w:szCs w:val="16"/>
              </w:rPr>
              <w:t>40</w:t>
            </w:r>
          </w:p>
        </w:tc>
        <w:tc>
          <w:tcPr>
            <w:tcW w:w="1158" w:type="dxa"/>
            <w:vAlign w:val="center"/>
          </w:tcPr>
          <w:p w:rsidR="002242C8" w:rsidRPr="00984241" w:rsidRDefault="002242C8" w:rsidP="00C3699B">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4.0</w:t>
            </w:r>
          </w:p>
        </w:tc>
        <w:tc>
          <w:tcPr>
            <w:tcW w:w="972" w:type="dxa"/>
            <w:vAlign w:val="center"/>
          </w:tcPr>
          <w:p w:rsidR="002242C8" w:rsidRPr="00984241" w:rsidRDefault="002242C8" w:rsidP="00C3699B">
            <w:pPr>
              <w:jc w:val="center"/>
              <w:cnfStyle w:val="000000000000" w:firstRow="0" w:lastRow="0" w:firstColumn="0" w:lastColumn="0" w:oddVBand="0" w:evenVBand="0" w:oddHBand="0" w:evenHBand="0" w:firstRowFirstColumn="0" w:firstRowLastColumn="0" w:lastRowFirstColumn="0" w:lastRowLastColumn="0"/>
              <w:rPr>
                <w:sz w:val="16"/>
                <w:szCs w:val="16"/>
              </w:rPr>
            </w:pPr>
            <w:r w:rsidRPr="00984241">
              <w:rPr>
                <w:sz w:val="16"/>
                <w:szCs w:val="16"/>
              </w:rPr>
              <w:t>80</w:t>
            </w:r>
          </w:p>
        </w:tc>
      </w:tr>
      <w:tr w:rsidR="002242C8" w:rsidTr="00C369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rsidR="002242C8" w:rsidRPr="00984241" w:rsidRDefault="002242C8" w:rsidP="00C3699B">
            <w:pPr>
              <w:ind w:firstLine="0"/>
              <w:jc w:val="center"/>
              <w:rPr>
                <w:sz w:val="16"/>
                <w:szCs w:val="16"/>
              </w:rPr>
            </w:pPr>
            <w:r w:rsidRPr="00984241">
              <w:rPr>
                <w:sz w:val="16"/>
                <w:szCs w:val="16"/>
              </w:rPr>
              <w:t>15</w:t>
            </w:r>
          </w:p>
        </w:tc>
        <w:tc>
          <w:tcPr>
            <w:tcW w:w="1149" w:type="dxa"/>
            <w:vAlign w:val="center"/>
          </w:tcPr>
          <w:p w:rsidR="002242C8" w:rsidRPr="00984241" w:rsidRDefault="002242C8" w:rsidP="00C3699B">
            <w:pPr>
              <w:jc w:val="center"/>
              <w:cnfStyle w:val="000000100000" w:firstRow="0" w:lastRow="0" w:firstColumn="0" w:lastColumn="0" w:oddVBand="0" w:evenVBand="0" w:oddHBand="1" w:evenHBand="0" w:firstRowFirstColumn="0" w:firstRowLastColumn="0" w:lastRowFirstColumn="0" w:lastRowLastColumn="0"/>
              <w:rPr>
                <w:sz w:val="16"/>
                <w:szCs w:val="16"/>
              </w:rPr>
            </w:pPr>
            <w:r w:rsidRPr="00984241">
              <w:rPr>
                <w:sz w:val="16"/>
                <w:szCs w:val="16"/>
              </w:rPr>
              <w:t>100</w:t>
            </w:r>
          </w:p>
        </w:tc>
        <w:tc>
          <w:tcPr>
            <w:tcW w:w="1158" w:type="dxa"/>
            <w:vAlign w:val="center"/>
          </w:tcPr>
          <w:p w:rsidR="002242C8" w:rsidRPr="00984241" w:rsidRDefault="002242C8" w:rsidP="00C3699B">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2.9</w:t>
            </w:r>
          </w:p>
        </w:tc>
        <w:tc>
          <w:tcPr>
            <w:tcW w:w="972" w:type="dxa"/>
            <w:vAlign w:val="center"/>
          </w:tcPr>
          <w:p w:rsidR="002242C8" w:rsidRPr="00984241" w:rsidRDefault="002242C8" w:rsidP="00C3699B">
            <w:pPr>
              <w:jc w:val="center"/>
              <w:cnfStyle w:val="000000100000" w:firstRow="0" w:lastRow="0" w:firstColumn="0" w:lastColumn="0" w:oddVBand="0" w:evenVBand="0" w:oddHBand="1" w:evenHBand="0" w:firstRowFirstColumn="0" w:firstRowLastColumn="0" w:lastRowFirstColumn="0" w:lastRowLastColumn="0"/>
              <w:rPr>
                <w:sz w:val="16"/>
                <w:szCs w:val="16"/>
              </w:rPr>
            </w:pPr>
            <w:r w:rsidRPr="00984241">
              <w:rPr>
                <w:sz w:val="16"/>
                <w:szCs w:val="16"/>
              </w:rPr>
              <w:t>42</w:t>
            </w:r>
            <w:r>
              <w:rPr>
                <w:sz w:val="16"/>
                <w:szCs w:val="16"/>
              </w:rPr>
              <w:t>.</w:t>
            </w:r>
            <w:r w:rsidRPr="00984241">
              <w:rPr>
                <w:sz w:val="16"/>
                <w:szCs w:val="16"/>
              </w:rPr>
              <w:t>5</w:t>
            </w:r>
          </w:p>
        </w:tc>
      </w:tr>
      <w:tr w:rsidR="002242C8" w:rsidTr="00C3699B">
        <w:tc>
          <w:tcPr>
            <w:cnfStyle w:val="001000000000" w:firstRow="0" w:lastRow="0" w:firstColumn="1" w:lastColumn="0" w:oddVBand="0" w:evenVBand="0" w:oddHBand="0" w:evenHBand="0" w:firstRowFirstColumn="0" w:firstRowLastColumn="0" w:lastRowFirstColumn="0" w:lastRowLastColumn="0"/>
            <w:tcW w:w="789" w:type="dxa"/>
            <w:vAlign w:val="center"/>
          </w:tcPr>
          <w:p w:rsidR="002242C8" w:rsidRPr="00984241" w:rsidRDefault="002242C8" w:rsidP="00C3699B">
            <w:pPr>
              <w:ind w:firstLine="0"/>
              <w:jc w:val="center"/>
              <w:rPr>
                <w:sz w:val="16"/>
                <w:szCs w:val="16"/>
              </w:rPr>
            </w:pPr>
            <w:r w:rsidRPr="00984241">
              <w:rPr>
                <w:sz w:val="16"/>
                <w:szCs w:val="16"/>
              </w:rPr>
              <w:t>16</w:t>
            </w:r>
          </w:p>
        </w:tc>
        <w:tc>
          <w:tcPr>
            <w:tcW w:w="1149" w:type="dxa"/>
            <w:vAlign w:val="center"/>
          </w:tcPr>
          <w:p w:rsidR="002242C8" w:rsidRPr="00984241" w:rsidRDefault="002242C8" w:rsidP="00C3699B">
            <w:pPr>
              <w:jc w:val="center"/>
              <w:cnfStyle w:val="000000000000" w:firstRow="0" w:lastRow="0" w:firstColumn="0" w:lastColumn="0" w:oddVBand="0" w:evenVBand="0" w:oddHBand="0" w:evenHBand="0" w:firstRowFirstColumn="0" w:firstRowLastColumn="0" w:lastRowFirstColumn="0" w:lastRowLastColumn="0"/>
              <w:rPr>
                <w:sz w:val="16"/>
                <w:szCs w:val="16"/>
              </w:rPr>
            </w:pPr>
            <w:r w:rsidRPr="00984241">
              <w:rPr>
                <w:sz w:val="16"/>
                <w:szCs w:val="16"/>
              </w:rPr>
              <w:t>40</w:t>
            </w:r>
          </w:p>
        </w:tc>
        <w:tc>
          <w:tcPr>
            <w:tcW w:w="1158" w:type="dxa"/>
            <w:vAlign w:val="center"/>
          </w:tcPr>
          <w:p w:rsidR="002242C8" w:rsidRPr="00984241" w:rsidRDefault="002242C8" w:rsidP="00C3699B">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1.1</w:t>
            </w:r>
          </w:p>
        </w:tc>
        <w:tc>
          <w:tcPr>
            <w:tcW w:w="972" w:type="dxa"/>
            <w:vAlign w:val="center"/>
          </w:tcPr>
          <w:p w:rsidR="002242C8" w:rsidRPr="00984241" w:rsidRDefault="002242C8" w:rsidP="00C3699B">
            <w:pPr>
              <w:jc w:val="center"/>
              <w:cnfStyle w:val="000000000000" w:firstRow="0" w:lastRow="0" w:firstColumn="0" w:lastColumn="0" w:oddVBand="0" w:evenVBand="0" w:oddHBand="0" w:evenHBand="0" w:firstRowFirstColumn="0" w:firstRowLastColumn="0" w:lastRowFirstColumn="0" w:lastRowLastColumn="0"/>
              <w:rPr>
                <w:sz w:val="16"/>
                <w:szCs w:val="16"/>
              </w:rPr>
            </w:pPr>
            <w:r w:rsidRPr="00984241">
              <w:rPr>
                <w:sz w:val="16"/>
                <w:szCs w:val="16"/>
              </w:rPr>
              <w:t>40</w:t>
            </w:r>
          </w:p>
        </w:tc>
      </w:tr>
    </w:tbl>
    <w:p w:rsidR="00B31360" w:rsidRDefault="00B31360" w:rsidP="004C59B9"/>
    <w:p w:rsidR="004C59B9" w:rsidRDefault="004C59B9" w:rsidP="004C59B9">
      <w:r>
        <w:t xml:space="preserve">A partir de los datos consignados en la Tabla </w:t>
      </w:r>
      <w:r w:rsidR="00C62CCD">
        <w:t>4</w:t>
      </w:r>
      <w:r>
        <w:t xml:space="preserve"> se realizó un análisis de varianza para determinar cuál factor tiene mayor impacto en el tiempo de ruptura.</w:t>
      </w:r>
    </w:p>
    <w:p w:rsidR="00D31B02" w:rsidRDefault="00D31B02" w:rsidP="004C59B9">
      <w:r w:rsidRPr="00D31B02">
        <w:rPr>
          <w:rFonts w:cs="Times New Roman"/>
          <w:b/>
          <w:bCs/>
          <w:sz w:val="16"/>
          <w:szCs w:val="18"/>
        </w:rPr>
        <w:t xml:space="preserve">Tabla 4. Anova multifactorial para el tiempo de ruptura </w:t>
      </w:r>
    </w:p>
    <w:tbl>
      <w:tblPr>
        <w:tblStyle w:val="PlainTable2"/>
        <w:tblW w:w="0" w:type="auto"/>
        <w:tblLook w:val="04A0" w:firstRow="1" w:lastRow="0" w:firstColumn="1" w:lastColumn="0" w:noHBand="0" w:noVBand="1"/>
      </w:tblPr>
      <w:tblGrid>
        <w:gridCol w:w="1225"/>
        <w:gridCol w:w="759"/>
        <w:gridCol w:w="943"/>
        <w:gridCol w:w="943"/>
        <w:gridCol w:w="737"/>
      </w:tblGrid>
      <w:tr w:rsidR="00B31360" w:rsidTr="00E16D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5" w:type="dxa"/>
            <w:vAlign w:val="center"/>
          </w:tcPr>
          <w:p w:rsidR="00B31360" w:rsidRPr="00D33FA2" w:rsidRDefault="00B31360" w:rsidP="00E16DED">
            <w:pPr>
              <w:ind w:firstLine="0"/>
              <w:jc w:val="center"/>
              <w:rPr>
                <w:sz w:val="16"/>
                <w:szCs w:val="16"/>
                <w:lang w:val="es-ES"/>
              </w:rPr>
            </w:pPr>
            <w:r w:rsidRPr="00D33FA2">
              <w:rPr>
                <w:sz w:val="16"/>
                <w:szCs w:val="16"/>
                <w:lang w:val="es-ES"/>
              </w:rPr>
              <w:t xml:space="preserve">Fuente </w:t>
            </w:r>
            <w:r>
              <w:rPr>
                <w:sz w:val="16"/>
                <w:szCs w:val="16"/>
                <w:lang w:val="es-ES"/>
              </w:rPr>
              <w:t>de variación</w:t>
            </w:r>
          </w:p>
        </w:tc>
        <w:tc>
          <w:tcPr>
            <w:tcW w:w="759" w:type="dxa"/>
            <w:vAlign w:val="center"/>
          </w:tcPr>
          <w:p w:rsidR="00B31360" w:rsidRPr="00D33FA2" w:rsidRDefault="00B31360" w:rsidP="00E16DED">
            <w:pPr>
              <w:ind w:firstLine="0"/>
              <w:jc w:val="center"/>
              <w:cnfStyle w:val="100000000000" w:firstRow="1" w:lastRow="0" w:firstColumn="0" w:lastColumn="0" w:oddVBand="0" w:evenVBand="0" w:oddHBand="0" w:evenHBand="0" w:firstRowFirstColumn="0" w:firstRowLastColumn="0" w:lastRowFirstColumn="0" w:lastRowLastColumn="0"/>
              <w:rPr>
                <w:sz w:val="16"/>
                <w:szCs w:val="16"/>
                <w:lang w:val="es-ES"/>
              </w:rPr>
            </w:pPr>
            <w:r>
              <w:rPr>
                <w:sz w:val="16"/>
                <w:szCs w:val="16"/>
                <w:lang w:val="es-ES"/>
              </w:rPr>
              <w:t>Grados de libertad</w:t>
            </w:r>
          </w:p>
        </w:tc>
        <w:tc>
          <w:tcPr>
            <w:tcW w:w="943" w:type="dxa"/>
            <w:vAlign w:val="center"/>
          </w:tcPr>
          <w:p w:rsidR="00B31360" w:rsidRPr="00D33FA2" w:rsidRDefault="00B31360" w:rsidP="00E16DED">
            <w:pPr>
              <w:ind w:firstLine="0"/>
              <w:jc w:val="center"/>
              <w:cnfStyle w:val="100000000000" w:firstRow="1" w:lastRow="0" w:firstColumn="0" w:lastColumn="0" w:oddVBand="0" w:evenVBand="0" w:oddHBand="0" w:evenHBand="0" w:firstRowFirstColumn="0" w:firstRowLastColumn="0" w:lastRowFirstColumn="0" w:lastRowLastColumn="0"/>
              <w:rPr>
                <w:sz w:val="16"/>
                <w:szCs w:val="16"/>
                <w:lang w:val="es-ES"/>
              </w:rPr>
            </w:pPr>
            <w:r>
              <w:rPr>
                <w:sz w:val="16"/>
                <w:szCs w:val="16"/>
                <w:lang w:val="es-ES"/>
              </w:rPr>
              <w:t>Suma de cuadrados</w:t>
            </w:r>
          </w:p>
        </w:tc>
        <w:tc>
          <w:tcPr>
            <w:tcW w:w="943" w:type="dxa"/>
            <w:vAlign w:val="center"/>
          </w:tcPr>
          <w:p w:rsidR="00B31360" w:rsidRPr="00D33FA2" w:rsidRDefault="00B31360" w:rsidP="00E16DED">
            <w:pPr>
              <w:ind w:firstLine="0"/>
              <w:jc w:val="center"/>
              <w:cnfStyle w:val="100000000000" w:firstRow="1" w:lastRow="0" w:firstColumn="0" w:lastColumn="0" w:oddVBand="0" w:evenVBand="0" w:oddHBand="0" w:evenHBand="0" w:firstRowFirstColumn="0" w:firstRowLastColumn="0" w:lastRowFirstColumn="0" w:lastRowLastColumn="0"/>
              <w:rPr>
                <w:sz w:val="16"/>
                <w:szCs w:val="16"/>
                <w:lang w:val="es-ES"/>
              </w:rPr>
            </w:pPr>
            <w:r>
              <w:rPr>
                <w:sz w:val="16"/>
                <w:szCs w:val="16"/>
                <w:lang w:val="es-ES"/>
              </w:rPr>
              <w:t>Media de cuadrados</w:t>
            </w:r>
          </w:p>
        </w:tc>
        <w:tc>
          <w:tcPr>
            <w:tcW w:w="737" w:type="dxa"/>
            <w:vAlign w:val="center"/>
          </w:tcPr>
          <w:p w:rsidR="00B31360" w:rsidRDefault="00B31360" w:rsidP="00E16DED">
            <w:pPr>
              <w:ind w:firstLine="0"/>
              <w:jc w:val="center"/>
              <w:cnfStyle w:val="100000000000" w:firstRow="1" w:lastRow="0" w:firstColumn="0" w:lastColumn="0" w:oddVBand="0" w:evenVBand="0" w:oddHBand="0" w:evenHBand="0" w:firstRowFirstColumn="0" w:firstRowLastColumn="0" w:lastRowFirstColumn="0" w:lastRowLastColumn="0"/>
              <w:rPr>
                <w:sz w:val="16"/>
                <w:szCs w:val="16"/>
                <w:lang w:val="es-ES"/>
              </w:rPr>
            </w:pPr>
            <w:r>
              <w:rPr>
                <w:sz w:val="16"/>
                <w:szCs w:val="16"/>
                <w:lang w:val="es-ES"/>
              </w:rPr>
              <w:t>Valor</w:t>
            </w:r>
          </w:p>
          <w:p w:rsidR="00B31360" w:rsidRPr="00D33FA2" w:rsidRDefault="00B31360" w:rsidP="00E16DED">
            <w:pPr>
              <w:ind w:firstLine="0"/>
              <w:jc w:val="center"/>
              <w:cnfStyle w:val="100000000000" w:firstRow="1" w:lastRow="0" w:firstColumn="0" w:lastColumn="0" w:oddVBand="0" w:evenVBand="0" w:oddHBand="0" w:evenHBand="0" w:firstRowFirstColumn="0" w:firstRowLastColumn="0" w:lastRowFirstColumn="0" w:lastRowLastColumn="0"/>
              <w:rPr>
                <w:sz w:val="16"/>
                <w:szCs w:val="16"/>
                <w:lang w:val="es-ES"/>
              </w:rPr>
            </w:pPr>
            <w:r>
              <w:rPr>
                <w:sz w:val="16"/>
                <w:szCs w:val="16"/>
                <w:lang w:val="es-ES"/>
              </w:rPr>
              <w:t>P</w:t>
            </w:r>
          </w:p>
        </w:tc>
      </w:tr>
      <w:tr w:rsidR="00B31360" w:rsidTr="00E16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5" w:type="dxa"/>
            <w:vAlign w:val="center"/>
          </w:tcPr>
          <w:p w:rsidR="00B31360" w:rsidRPr="00D33FA2" w:rsidRDefault="00B31360" w:rsidP="00E16DED">
            <w:pPr>
              <w:ind w:firstLine="0"/>
              <w:jc w:val="center"/>
              <w:rPr>
                <w:sz w:val="16"/>
                <w:szCs w:val="16"/>
                <w:lang w:val="es-ES"/>
              </w:rPr>
            </w:pPr>
            <w:r>
              <w:rPr>
                <w:sz w:val="16"/>
                <w:szCs w:val="16"/>
                <w:lang w:val="es-ES"/>
              </w:rPr>
              <w:t>A</w:t>
            </w:r>
          </w:p>
        </w:tc>
        <w:tc>
          <w:tcPr>
            <w:tcW w:w="759" w:type="dxa"/>
            <w:vAlign w:val="center"/>
          </w:tcPr>
          <w:p w:rsidR="00B31360" w:rsidRPr="00D33FA2" w:rsidRDefault="00B31360" w:rsidP="00E16DED">
            <w:pPr>
              <w:ind w:firstLine="0"/>
              <w:jc w:val="center"/>
              <w:cnfStyle w:val="000000100000" w:firstRow="0" w:lastRow="0" w:firstColumn="0" w:lastColumn="0" w:oddVBand="0" w:evenVBand="0" w:oddHBand="1" w:evenHBand="0" w:firstRowFirstColumn="0" w:firstRowLastColumn="0" w:lastRowFirstColumn="0" w:lastRowLastColumn="0"/>
              <w:rPr>
                <w:sz w:val="16"/>
                <w:szCs w:val="16"/>
                <w:lang w:val="es-ES"/>
              </w:rPr>
            </w:pPr>
            <w:r>
              <w:rPr>
                <w:sz w:val="16"/>
                <w:szCs w:val="16"/>
                <w:lang w:val="es-ES"/>
              </w:rPr>
              <w:t>1</w:t>
            </w:r>
          </w:p>
        </w:tc>
        <w:tc>
          <w:tcPr>
            <w:tcW w:w="943" w:type="dxa"/>
            <w:vAlign w:val="center"/>
          </w:tcPr>
          <w:p w:rsidR="00B31360" w:rsidRPr="00D33FA2" w:rsidRDefault="00B31360" w:rsidP="00E16DED">
            <w:pPr>
              <w:ind w:firstLine="0"/>
              <w:jc w:val="center"/>
              <w:cnfStyle w:val="000000100000" w:firstRow="0" w:lastRow="0" w:firstColumn="0" w:lastColumn="0" w:oddVBand="0" w:evenVBand="0" w:oddHBand="1" w:evenHBand="0" w:firstRowFirstColumn="0" w:firstRowLastColumn="0" w:lastRowFirstColumn="0" w:lastRowLastColumn="0"/>
              <w:rPr>
                <w:sz w:val="16"/>
                <w:szCs w:val="16"/>
                <w:lang w:val="es-ES"/>
              </w:rPr>
            </w:pPr>
            <w:r>
              <w:rPr>
                <w:sz w:val="16"/>
                <w:szCs w:val="16"/>
                <w:lang w:val="es-ES"/>
              </w:rPr>
              <w:t>11217.7</w:t>
            </w:r>
          </w:p>
        </w:tc>
        <w:tc>
          <w:tcPr>
            <w:tcW w:w="943" w:type="dxa"/>
            <w:vAlign w:val="center"/>
          </w:tcPr>
          <w:p w:rsidR="00B31360" w:rsidRPr="00D33FA2" w:rsidRDefault="00B31360" w:rsidP="00E16DED">
            <w:pPr>
              <w:ind w:firstLine="0"/>
              <w:jc w:val="center"/>
              <w:cnfStyle w:val="000000100000" w:firstRow="0" w:lastRow="0" w:firstColumn="0" w:lastColumn="0" w:oddVBand="0" w:evenVBand="0" w:oddHBand="1" w:evenHBand="0" w:firstRowFirstColumn="0" w:firstRowLastColumn="0" w:lastRowFirstColumn="0" w:lastRowLastColumn="0"/>
              <w:rPr>
                <w:sz w:val="16"/>
                <w:szCs w:val="16"/>
                <w:lang w:val="es-ES"/>
              </w:rPr>
            </w:pPr>
            <w:r>
              <w:rPr>
                <w:sz w:val="16"/>
                <w:szCs w:val="16"/>
                <w:lang w:val="es-ES"/>
              </w:rPr>
              <w:t>11217.7</w:t>
            </w:r>
          </w:p>
        </w:tc>
        <w:tc>
          <w:tcPr>
            <w:tcW w:w="737" w:type="dxa"/>
            <w:vAlign w:val="center"/>
          </w:tcPr>
          <w:p w:rsidR="00B31360" w:rsidRPr="00D33FA2" w:rsidRDefault="00B31360" w:rsidP="00E16DED">
            <w:pPr>
              <w:ind w:firstLine="0"/>
              <w:jc w:val="center"/>
              <w:cnfStyle w:val="000000100000" w:firstRow="0" w:lastRow="0" w:firstColumn="0" w:lastColumn="0" w:oddVBand="0" w:evenVBand="0" w:oddHBand="1" w:evenHBand="0" w:firstRowFirstColumn="0" w:firstRowLastColumn="0" w:lastRowFirstColumn="0" w:lastRowLastColumn="0"/>
              <w:rPr>
                <w:sz w:val="16"/>
                <w:szCs w:val="16"/>
                <w:lang w:val="es-ES"/>
              </w:rPr>
            </w:pPr>
            <w:r>
              <w:rPr>
                <w:sz w:val="16"/>
                <w:szCs w:val="16"/>
                <w:lang w:val="es-ES"/>
              </w:rPr>
              <w:t>0.0132</w:t>
            </w:r>
          </w:p>
        </w:tc>
      </w:tr>
      <w:tr w:rsidR="00B31360" w:rsidTr="00E16DED">
        <w:tc>
          <w:tcPr>
            <w:cnfStyle w:val="001000000000" w:firstRow="0" w:lastRow="0" w:firstColumn="1" w:lastColumn="0" w:oddVBand="0" w:evenVBand="0" w:oddHBand="0" w:evenHBand="0" w:firstRowFirstColumn="0" w:firstRowLastColumn="0" w:lastRowFirstColumn="0" w:lastRowLastColumn="0"/>
            <w:tcW w:w="1225" w:type="dxa"/>
            <w:vAlign w:val="center"/>
          </w:tcPr>
          <w:p w:rsidR="00B31360" w:rsidRPr="00D33FA2" w:rsidRDefault="00B31360" w:rsidP="00E16DED">
            <w:pPr>
              <w:ind w:firstLine="0"/>
              <w:jc w:val="center"/>
              <w:rPr>
                <w:sz w:val="16"/>
                <w:szCs w:val="16"/>
                <w:lang w:val="es-ES"/>
              </w:rPr>
            </w:pPr>
            <w:r>
              <w:rPr>
                <w:sz w:val="16"/>
                <w:szCs w:val="16"/>
                <w:lang w:val="es-ES"/>
              </w:rPr>
              <w:t>B</w:t>
            </w:r>
          </w:p>
        </w:tc>
        <w:tc>
          <w:tcPr>
            <w:tcW w:w="759" w:type="dxa"/>
            <w:vAlign w:val="center"/>
          </w:tcPr>
          <w:p w:rsidR="00B31360" w:rsidRPr="00D33FA2" w:rsidRDefault="00B31360" w:rsidP="00E16DED">
            <w:pPr>
              <w:ind w:firstLine="0"/>
              <w:jc w:val="center"/>
              <w:cnfStyle w:val="000000000000" w:firstRow="0" w:lastRow="0" w:firstColumn="0" w:lastColumn="0" w:oddVBand="0" w:evenVBand="0" w:oddHBand="0" w:evenHBand="0" w:firstRowFirstColumn="0" w:firstRowLastColumn="0" w:lastRowFirstColumn="0" w:lastRowLastColumn="0"/>
              <w:rPr>
                <w:sz w:val="16"/>
                <w:szCs w:val="16"/>
                <w:lang w:val="es-ES"/>
              </w:rPr>
            </w:pPr>
            <w:r>
              <w:rPr>
                <w:sz w:val="16"/>
                <w:szCs w:val="16"/>
                <w:lang w:val="es-ES"/>
              </w:rPr>
              <w:t>1</w:t>
            </w:r>
          </w:p>
        </w:tc>
        <w:tc>
          <w:tcPr>
            <w:tcW w:w="943" w:type="dxa"/>
            <w:vAlign w:val="center"/>
          </w:tcPr>
          <w:p w:rsidR="00B31360" w:rsidRPr="00D33FA2" w:rsidRDefault="00B31360" w:rsidP="00E16DED">
            <w:pPr>
              <w:ind w:firstLine="0"/>
              <w:jc w:val="center"/>
              <w:cnfStyle w:val="000000000000" w:firstRow="0" w:lastRow="0" w:firstColumn="0" w:lastColumn="0" w:oddVBand="0" w:evenVBand="0" w:oddHBand="0" w:evenHBand="0" w:firstRowFirstColumn="0" w:firstRowLastColumn="0" w:lastRowFirstColumn="0" w:lastRowLastColumn="0"/>
              <w:rPr>
                <w:sz w:val="16"/>
                <w:szCs w:val="16"/>
                <w:lang w:val="es-ES"/>
              </w:rPr>
            </w:pPr>
            <w:r>
              <w:rPr>
                <w:sz w:val="16"/>
                <w:szCs w:val="16"/>
                <w:lang w:val="es-ES"/>
              </w:rPr>
              <w:t>839.48</w:t>
            </w:r>
          </w:p>
        </w:tc>
        <w:tc>
          <w:tcPr>
            <w:tcW w:w="943" w:type="dxa"/>
            <w:vAlign w:val="center"/>
          </w:tcPr>
          <w:p w:rsidR="00B31360" w:rsidRPr="00D33FA2" w:rsidRDefault="00B31360" w:rsidP="00E16DED">
            <w:pPr>
              <w:ind w:firstLine="0"/>
              <w:jc w:val="center"/>
              <w:cnfStyle w:val="000000000000" w:firstRow="0" w:lastRow="0" w:firstColumn="0" w:lastColumn="0" w:oddVBand="0" w:evenVBand="0" w:oddHBand="0" w:evenHBand="0" w:firstRowFirstColumn="0" w:firstRowLastColumn="0" w:lastRowFirstColumn="0" w:lastRowLastColumn="0"/>
              <w:rPr>
                <w:sz w:val="16"/>
                <w:szCs w:val="16"/>
                <w:lang w:val="es-ES"/>
              </w:rPr>
            </w:pPr>
            <w:r>
              <w:rPr>
                <w:sz w:val="16"/>
                <w:szCs w:val="16"/>
                <w:lang w:val="es-ES"/>
              </w:rPr>
              <w:t>839.48</w:t>
            </w:r>
          </w:p>
        </w:tc>
        <w:tc>
          <w:tcPr>
            <w:tcW w:w="737" w:type="dxa"/>
            <w:vAlign w:val="center"/>
          </w:tcPr>
          <w:p w:rsidR="00B31360" w:rsidRPr="00D33FA2" w:rsidRDefault="004C69FF" w:rsidP="00E16DED">
            <w:pPr>
              <w:ind w:firstLine="0"/>
              <w:jc w:val="center"/>
              <w:cnfStyle w:val="000000000000" w:firstRow="0" w:lastRow="0" w:firstColumn="0" w:lastColumn="0" w:oddVBand="0" w:evenVBand="0" w:oddHBand="0" w:evenHBand="0" w:firstRowFirstColumn="0" w:firstRowLastColumn="0" w:lastRowFirstColumn="0" w:lastRowLastColumn="0"/>
              <w:rPr>
                <w:sz w:val="16"/>
                <w:szCs w:val="16"/>
                <w:lang w:val="es-ES"/>
              </w:rPr>
            </w:pPr>
            <w:r>
              <w:rPr>
                <w:sz w:val="16"/>
                <w:szCs w:val="16"/>
                <w:lang w:val="es-ES"/>
              </w:rPr>
              <w:t>0.04</w:t>
            </w:r>
            <w:r w:rsidR="00B31360">
              <w:rPr>
                <w:sz w:val="16"/>
                <w:szCs w:val="16"/>
                <w:lang w:val="es-ES"/>
              </w:rPr>
              <w:t>23</w:t>
            </w:r>
          </w:p>
        </w:tc>
      </w:tr>
      <w:tr w:rsidR="00B31360" w:rsidTr="00E16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5" w:type="dxa"/>
            <w:vAlign w:val="center"/>
          </w:tcPr>
          <w:p w:rsidR="00B31360" w:rsidRPr="00D33FA2" w:rsidRDefault="00B31360" w:rsidP="00E16DED">
            <w:pPr>
              <w:ind w:firstLine="0"/>
              <w:jc w:val="center"/>
              <w:rPr>
                <w:sz w:val="16"/>
                <w:szCs w:val="16"/>
                <w:lang w:val="es-ES"/>
              </w:rPr>
            </w:pPr>
            <w:r>
              <w:rPr>
                <w:sz w:val="16"/>
                <w:szCs w:val="16"/>
                <w:lang w:val="es-ES"/>
              </w:rPr>
              <w:t>AA</w:t>
            </w:r>
          </w:p>
        </w:tc>
        <w:tc>
          <w:tcPr>
            <w:tcW w:w="759" w:type="dxa"/>
            <w:vAlign w:val="center"/>
          </w:tcPr>
          <w:p w:rsidR="00B31360" w:rsidRPr="00D33FA2" w:rsidRDefault="00B31360" w:rsidP="00E16DED">
            <w:pPr>
              <w:ind w:firstLine="0"/>
              <w:jc w:val="center"/>
              <w:cnfStyle w:val="000000100000" w:firstRow="0" w:lastRow="0" w:firstColumn="0" w:lastColumn="0" w:oddVBand="0" w:evenVBand="0" w:oddHBand="1" w:evenHBand="0" w:firstRowFirstColumn="0" w:firstRowLastColumn="0" w:lastRowFirstColumn="0" w:lastRowLastColumn="0"/>
              <w:rPr>
                <w:sz w:val="16"/>
                <w:szCs w:val="16"/>
                <w:lang w:val="es-ES"/>
              </w:rPr>
            </w:pPr>
            <w:r>
              <w:rPr>
                <w:sz w:val="16"/>
                <w:szCs w:val="16"/>
                <w:lang w:val="es-ES"/>
              </w:rPr>
              <w:t>1</w:t>
            </w:r>
          </w:p>
        </w:tc>
        <w:tc>
          <w:tcPr>
            <w:tcW w:w="943" w:type="dxa"/>
            <w:vAlign w:val="center"/>
          </w:tcPr>
          <w:p w:rsidR="00B31360" w:rsidRPr="00D33FA2" w:rsidRDefault="00B31360" w:rsidP="00E16DED">
            <w:pPr>
              <w:ind w:firstLine="0"/>
              <w:jc w:val="center"/>
              <w:cnfStyle w:val="000000100000" w:firstRow="0" w:lastRow="0" w:firstColumn="0" w:lastColumn="0" w:oddVBand="0" w:evenVBand="0" w:oddHBand="1" w:evenHBand="0" w:firstRowFirstColumn="0" w:firstRowLastColumn="0" w:lastRowFirstColumn="0" w:lastRowLastColumn="0"/>
              <w:rPr>
                <w:sz w:val="16"/>
                <w:szCs w:val="16"/>
                <w:lang w:val="es-ES"/>
              </w:rPr>
            </w:pPr>
            <w:r>
              <w:rPr>
                <w:sz w:val="16"/>
                <w:szCs w:val="16"/>
                <w:lang w:val="es-ES"/>
              </w:rPr>
              <w:t>51082.2</w:t>
            </w:r>
          </w:p>
        </w:tc>
        <w:tc>
          <w:tcPr>
            <w:tcW w:w="943" w:type="dxa"/>
            <w:vAlign w:val="center"/>
          </w:tcPr>
          <w:p w:rsidR="00B31360" w:rsidRPr="00D33FA2" w:rsidRDefault="00B31360" w:rsidP="00E16DED">
            <w:pPr>
              <w:ind w:firstLine="0"/>
              <w:jc w:val="center"/>
              <w:cnfStyle w:val="000000100000" w:firstRow="0" w:lastRow="0" w:firstColumn="0" w:lastColumn="0" w:oddVBand="0" w:evenVBand="0" w:oddHBand="1" w:evenHBand="0" w:firstRowFirstColumn="0" w:firstRowLastColumn="0" w:lastRowFirstColumn="0" w:lastRowLastColumn="0"/>
              <w:rPr>
                <w:sz w:val="16"/>
                <w:szCs w:val="16"/>
                <w:lang w:val="es-ES"/>
              </w:rPr>
            </w:pPr>
            <w:r>
              <w:rPr>
                <w:sz w:val="16"/>
                <w:szCs w:val="16"/>
                <w:lang w:val="es-ES"/>
              </w:rPr>
              <w:t>51082.2</w:t>
            </w:r>
          </w:p>
        </w:tc>
        <w:tc>
          <w:tcPr>
            <w:tcW w:w="737" w:type="dxa"/>
            <w:vAlign w:val="center"/>
          </w:tcPr>
          <w:p w:rsidR="00B31360" w:rsidRPr="00D33FA2" w:rsidRDefault="00B31360" w:rsidP="00E16DED">
            <w:pPr>
              <w:ind w:firstLine="0"/>
              <w:jc w:val="center"/>
              <w:cnfStyle w:val="000000100000" w:firstRow="0" w:lastRow="0" w:firstColumn="0" w:lastColumn="0" w:oddVBand="0" w:evenVBand="0" w:oddHBand="1" w:evenHBand="0" w:firstRowFirstColumn="0" w:firstRowLastColumn="0" w:lastRowFirstColumn="0" w:lastRowLastColumn="0"/>
              <w:rPr>
                <w:sz w:val="16"/>
                <w:szCs w:val="16"/>
                <w:lang w:val="es-ES"/>
              </w:rPr>
            </w:pPr>
            <w:r>
              <w:rPr>
                <w:sz w:val="16"/>
                <w:szCs w:val="16"/>
                <w:lang w:val="es-ES"/>
              </w:rPr>
              <w:t>0.0176</w:t>
            </w:r>
          </w:p>
        </w:tc>
      </w:tr>
      <w:tr w:rsidR="00B31360" w:rsidTr="00E16DED">
        <w:tc>
          <w:tcPr>
            <w:cnfStyle w:val="001000000000" w:firstRow="0" w:lastRow="0" w:firstColumn="1" w:lastColumn="0" w:oddVBand="0" w:evenVBand="0" w:oddHBand="0" w:evenHBand="0" w:firstRowFirstColumn="0" w:firstRowLastColumn="0" w:lastRowFirstColumn="0" w:lastRowLastColumn="0"/>
            <w:tcW w:w="1225" w:type="dxa"/>
            <w:vAlign w:val="center"/>
          </w:tcPr>
          <w:p w:rsidR="00B31360" w:rsidRPr="00D33FA2" w:rsidRDefault="00B31360" w:rsidP="00E16DED">
            <w:pPr>
              <w:ind w:firstLine="0"/>
              <w:jc w:val="center"/>
              <w:rPr>
                <w:sz w:val="16"/>
                <w:szCs w:val="16"/>
                <w:lang w:val="es-ES"/>
              </w:rPr>
            </w:pPr>
            <w:r>
              <w:rPr>
                <w:sz w:val="16"/>
                <w:szCs w:val="16"/>
                <w:lang w:val="es-ES"/>
              </w:rPr>
              <w:t>AB</w:t>
            </w:r>
          </w:p>
        </w:tc>
        <w:tc>
          <w:tcPr>
            <w:tcW w:w="759" w:type="dxa"/>
            <w:vAlign w:val="center"/>
          </w:tcPr>
          <w:p w:rsidR="00B31360" w:rsidRPr="00D33FA2" w:rsidRDefault="00B31360" w:rsidP="00E16DED">
            <w:pPr>
              <w:ind w:firstLine="0"/>
              <w:jc w:val="center"/>
              <w:cnfStyle w:val="000000000000" w:firstRow="0" w:lastRow="0" w:firstColumn="0" w:lastColumn="0" w:oddVBand="0" w:evenVBand="0" w:oddHBand="0" w:evenHBand="0" w:firstRowFirstColumn="0" w:firstRowLastColumn="0" w:lastRowFirstColumn="0" w:lastRowLastColumn="0"/>
              <w:rPr>
                <w:sz w:val="16"/>
                <w:szCs w:val="16"/>
                <w:lang w:val="es-ES"/>
              </w:rPr>
            </w:pPr>
            <w:r>
              <w:rPr>
                <w:sz w:val="16"/>
                <w:szCs w:val="16"/>
                <w:lang w:val="es-ES"/>
              </w:rPr>
              <w:t>1</w:t>
            </w:r>
          </w:p>
        </w:tc>
        <w:tc>
          <w:tcPr>
            <w:tcW w:w="943" w:type="dxa"/>
            <w:vAlign w:val="center"/>
          </w:tcPr>
          <w:p w:rsidR="00B31360" w:rsidRPr="00D33FA2" w:rsidRDefault="00B31360" w:rsidP="00E16DED">
            <w:pPr>
              <w:ind w:firstLine="0"/>
              <w:jc w:val="center"/>
              <w:cnfStyle w:val="000000000000" w:firstRow="0" w:lastRow="0" w:firstColumn="0" w:lastColumn="0" w:oddVBand="0" w:evenVBand="0" w:oddHBand="0" w:evenHBand="0" w:firstRowFirstColumn="0" w:firstRowLastColumn="0" w:lastRowFirstColumn="0" w:lastRowLastColumn="0"/>
              <w:rPr>
                <w:sz w:val="16"/>
                <w:szCs w:val="16"/>
                <w:lang w:val="es-ES"/>
              </w:rPr>
            </w:pPr>
            <w:r>
              <w:rPr>
                <w:sz w:val="16"/>
                <w:szCs w:val="16"/>
                <w:lang w:val="es-ES"/>
              </w:rPr>
              <w:t>100.90</w:t>
            </w:r>
          </w:p>
        </w:tc>
        <w:tc>
          <w:tcPr>
            <w:tcW w:w="943" w:type="dxa"/>
            <w:vAlign w:val="center"/>
          </w:tcPr>
          <w:p w:rsidR="00B31360" w:rsidRPr="00D33FA2" w:rsidRDefault="00B31360" w:rsidP="00E16DED">
            <w:pPr>
              <w:ind w:firstLine="0"/>
              <w:jc w:val="center"/>
              <w:cnfStyle w:val="000000000000" w:firstRow="0" w:lastRow="0" w:firstColumn="0" w:lastColumn="0" w:oddVBand="0" w:evenVBand="0" w:oddHBand="0" w:evenHBand="0" w:firstRowFirstColumn="0" w:firstRowLastColumn="0" w:lastRowFirstColumn="0" w:lastRowLastColumn="0"/>
              <w:rPr>
                <w:sz w:val="16"/>
                <w:szCs w:val="16"/>
                <w:lang w:val="es-ES"/>
              </w:rPr>
            </w:pPr>
            <w:r>
              <w:rPr>
                <w:sz w:val="16"/>
                <w:szCs w:val="16"/>
                <w:lang w:val="es-ES"/>
              </w:rPr>
              <w:t>100.90</w:t>
            </w:r>
          </w:p>
        </w:tc>
        <w:tc>
          <w:tcPr>
            <w:tcW w:w="737" w:type="dxa"/>
            <w:vAlign w:val="center"/>
          </w:tcPr>
          <w:p w:rsidR="00B31360" w:rsidRPr="00D33FA2" w:rsidRDefault="00B31360" w:rsidP="00E16DED">
            <w:pPr>
              <w:ind w:firstLine="0"/>
              <w:jc w:val="center"/>
              <w:cnfStyle w:val="000000000000" w:firstRow="0" w:lastRow="0" w:firstColumn="0" w:lastColumn="0" w:oddVBand="0" w:evenVBand="0" w:oddHBand="0" w:evenHBand="0" w:firstRowFirstColumn="0" w:firstRowLastColumn="0" w:lastRowFirstColumn="0" w:lastRowLastColumn="0"/>
              <w:rPr>
                <w:sz w:val="16"/>
                <w:szCs w:val="16"/>
                <w:lang w:val="es-ES"/>
              </w:rPr>
            </w:pPr>
            <w:r>
              <w:rPr>
                <w:sz w:val="16"/>
                <w:szCs w:val="16"/>
                <w:lang w:val="es-ES"/>
              </w:rPr>
              <w:t>0.9021</w:t>
            </w:r>
          </w:p>
        </w:tc>
      </w:tr>
      <w:tr w:rsidR="00B31360" w:rsidTr="00E16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5" w:type="dxa"/>
            <w:vAlign w:val="center"/>
          </w:tcPr>
          <w:p w:rsidR="00B31360" w:rsidRPr="00D33FA2" w:rsidRDefault="00B31360" w:rsidP="00E16DED">
            <w:pPr>
              <w:ind w:firstLine="0"/>
              <w:jc w:val="center"/>
              <w:rPr>
                <w:sz w:val="16"/>
                <w:szCs w:val="16"/>
                <w:lang w:val="es-ES"/>
              </w:rPr>
            </w:pPr>
            <w:r>
              <w:rPr>
                <w:sz w:val="16"/>
                <w:szCs w:val="16"/>
                <w:lang w:val="es-ES"/>
              </w:rPr>
              <w:lastRenderedPageBreak/>
              <w:t>BB</w:t>
            </w:r>
          </w:p>
        </w:tc>
        <w:tc>
          <w:tcPr>
            <w:tcW w:w="759" w:type="dxa"/>
            <w:vAlign w:val="center"/>
          </w:tcPr>
          <w:p w:rsidR="00B31360" w:rsidRPr="00D33FA2" w:rsidRDefault="00B31360" w:rsidP="00E16DED">
            <w:pPr>
              <w:ind w:firstLine="0"/>
              <w:jc w:val="center"/>
              <w:cnfStyle w:val="000000100000" w:firstRow="0" w:lastRow="0" w:firstColumn="0" w:lastColumn="0" w:oddVBand="0" w:evenVBand="0" w:oddHBand="1" w:evenHBand="0" w:firstRowFirstColumn="0" w:firstRowLastColumn="0" w:lastRowFirstColumn="0" w:lastRowLastColumn="0"/>
              <w:rPr>
                <w:sz w:val="16"/>
                <w:szCs w:val="16"/>
                <w:lang w:val="es-ES"/>
              </w:rPr>
            </w:pPr>
            <w:r>
              <w:rPr>
                <w:sz w:val="16"/>
                <w:szCs w:val="16"/>
                <w:lang w:val="es-ES"/>
              </w:rPr>
              <w:t>1</w:t>
            </w:r>
          </w:p>
        </w:tc>
        <w:tc>
          <w:tcPr>
            <w:tcW w:w="943" w:type="dxa"/>
            <w:vAlign w:val="center"/>
          </w:tcPr>
          <w:p w:rsidR="00B31360" w:rsidRPr="00D33FA2" w:rsidRDefault="00B31360" w:rsidP="00E16DED">
            <w:pPr>
              <w:ind w:firstLine="0"/>
              <w:jc w:val="center"/>
              <w:cnfStyle w:val="000000100000" w:firstRow="0" w:lastRow="0" w:firstColumn="0" w:lastColumn="0" w:oddVBand="0" w:evenVBand="0" w:oddHBand="1" w:evenHBand="0" w:firstRowFirstColumn="0" w:firstRowLastColumn="0" w:lastRowFirstColumn="0" w:lastRowLastColumn="0"/>
              <w:rPr>
                <w:sz w:val="16"/>
                <w:szCs w:val="16"/>
                <w:lang w:val="es-ES"/>
              </w:rPr>
            </w:pPr>
            <w:r>
              <w:rPr>
                <w:sz w:val="16"/>
                <w:szCs w:val="16"/>
                <w:lang w:val="es-ES"/>
              </w:rPr>
              <w:t>2156.6</w:t>
            </w:r>
          </w:p>
        </w:tc>
        <w:tc>
          <w:tcPr>
            <w:tcW w:w="943" w:type="dxa"/>
            <w:vAlign w:val="center"/>
          </w:tcPr>
          <w:p w:rsidR="00B31360" w:rsidRPr="00D33FA2" w:rsidRDefault="00B31360" w:rsidP="00E16DED">
            <w:pPr>
              <w:ind w:firstLine="0"/>
              <w:jc w:val="center"/>
              <w:cnfStyle w:val="000000100000" w:firstRow="0" w:lastRow="0" w:firstColumn="0" w:lastColumn="0" w:oddVBand="0" w:evenVBand="0" w:oddHBand="1" w:evenHBand="0" w:firstRowFirstColumn="0" w:firstRowLastColumn="0" w:lastRowFirstColumn="0" w:lastRowLastColumn="0"/>
              <w:rPr>
                <w:sz w:val="16"/>
                <w:szCs w:val="16"/>
                <w:lang w:val="es-ES"/>
              </w:rPr>
            </w:pPr>
            <w:r>
              <w:rPr>
                <w:sz w:val="16"/>
                <w:szCs w:val="16"/>
                <w:lang w:val="es-ES"/>
              </w:rPr>
              <w:t>2156.6</w:t>
            </w:r>
          </w:p>
        </w:tc>
        <w:tc>
          <w:tcPr>
            <w:tcW w:w="737" w:type="dxa"/>
            <w:vAlign w:val="center"/>
          </w:tcPr>
          <w:p w:rsidR="00B31360" w:rsidRPr="00D33FA2" w:rsidRDefault="00B31360" w:rsidP="00E16DED">
            <w:pPr>
              <w:ind w:firstLine="0"/>
              <w:jc w:val="center"/>
              <w:cnfStyle w:val="000000100000" w:firstRow="0" w:lastRow="0" w:firstColumn="0" w:lastColumn="0" w:oddVBand="0" w:evenVBand="0" w:oddHBand="1" w:evenHBand="0" w:firstRowFirstColumn="0" w:firstRowLastColumn="0" w:lastRowFirstColumn="0" w:lastRowLastColumn="0"/>
              <w:rPr>
                <w:sz w:val="16"/>
                <w:szCs w:val="16"/>
                <w:lang w:val="es-ES"/>
              </w:rPr>
            </w:pPr>
            <w:r>
              <w:rPr>
                <w:sz w:val="16"/>
                <w:szCs w:val="16"/>
                <w:lang w:val="es-ES"/>
              </w:rPr>
              <w:t>0.5728</w:t>
            </w:r>
          </w:p>
        </w:tc>
      </w:tr>
      <w:tr w:rsidR="00B31360" w:rsidTr="00E16DED">
        <w:tc>
          <w:tcPr>
            <w:cnfStyle w:val="001000000000" w:firstRow="0" w:lastRow="0" w:firstColumn="1" w:lastColumn="0" w:oddVBand="0" w:evenVBand="0" w:oddHBand="0" w:evenHBand="0" w:firstRowFirstColumn="0" w:firstRowLastColumn="0" w:lastRowFirstColumn="0" w:lastRowLastColumn="0"/>
            <w:tcW w:w="1225" w:type="dxa"/>
            <w:vAlign w:val="center"/>
          </w:tcPr>
          <w:p w:rsidR="00B31360" w:rsidRPr="00D33FA2" w:rsidRDefault="00B31360" w:rsidP="00E16DED">
            <w:pPr>
              <w:ind w:firstLine="0"/>
              <w:jc w:val="center"/>
              <w:rPr>
                <w:sz w:val="16"/>
                <w:szCs w:val="16"/>
                <w:lang w:val="es-ES"/>
              </w:rPr>
            </w:pPr>
            <w:r>
              <w:rPr>
                <w:sz w:val="16"/>
                <w:szCs w:val="16"/>
                <w:lang w:val="es-ES"/>
              </w:rPr>
              <w:t>Error experimental</w:t>
            </w:r>
          </w:p>
        </w:tc>
        <w:tc>
          <w:tcPr>
            <w:tcW w:w="759" w:type="dxa"/>
            <w:vAlign w:val="center"/>
          </w:tcPr>
          <w:p w:rsidR="00B31360" w:rsidRPr="00D33FA2" w:rsidRDefault="00B31360" w:rsidP="00E16DED">
            <w:pPr>
              <w:ind w:firstLine="0"/>
              <w:jc w:val="center"/>
              <w:cnfStyle w:val="000000000000" w:firstRow="0" w:lastRow="0" w:firstColumn="0" w:lastColumn="0" w:oddVBand="0" w:evenVBand="0" w:oddHBand="0" w:evenHBand="0" w:firstRowFirstColumn="0" w:firstRowLastColumn="0" w:lastRowFirstColumn="0" w:lastRowLastColumn="0"/>
              <w:rPr>
                <w:sz w:val="16"/>
                <w:szCs w:val="16"/>
                <w:lang w:val="es-ES"/>
              </w:rPr>
            </w:pPr>
            <w:r>
              <w:rPr>
                <w:sz w:val="16"/>
                <w:szCs w:val="16"/>
                <w:lang w:val="es-ES"/>
              </w:rPr>
              <w:t>10</w:t>
            </w:r>
          </w:p>
        </w:tc>
        <w:tc>
          <w:tcPr>
            <w:tcW w:w="943" w:type="dxa"/>
            <w:vAlign w:val="center"/>
          </w:tcPr>
          <w:p w:rsidR="00B31360" w:rsidRPr="00D33FA2" w:rsidRDefault="00B31360" w:rsidP="00E16DED">
            <w:pPr>
              <w:ind w:firstLine="0"/>
              <w:jc w:val="center"/>
              <w:cnfStyle w:val="000000000000" w:firstRow="0" w:lastRow="0" w:firstColumn="0" w:lastColumn="0" w:oddVBand="0" w:evenVBand="0" w:oddHBand="0" w:evenHBand="0" w:firstRowFirstColumn="0" w:firstRowLastColumn="0" w:lastRowFirstColumn="0" w:lastRowLastColumn="0"/>
              <w:rPr>
                <w:sz w:val="16"/>
                <w:szCs w:val="16"/>
                <w:lang w:val="es-ES"/>
              </w:rPr>
            </w:pPr>
            <w:r>
              <w:rPr>
                <w:sz w:val="16"/>
                <w:szCs w:val="16"/>
                <w:lang w:val="es-ES"/>
              </w:rPr>
              <w:t>63448.3</w:t>
            </w:r>
          </w:p>
        </w:tc>
        <w:tc>
          <w:tcPr>
            <w:tcW w:w="943" w:type="dxa"/>
            <w:vAlign w:val="center"/>
          </w:tcPr>
          <w:p w:rsidR="00B31360" w:rsidRPr="00D33FA2" w:rsidRDefault="00B31360" w:rsidP="00E16DED">
            <w:pPr>
              <w:ind w:firstLine="0"/>
              <w:jc w:val="center"/>
              <w:cnfStyle w:val="000000000000" w:firstRow="0" w:lastRow="0" w:firstColumn="0" w:lastColumn="0" w:oddVBand="0" w:evenVBand="0" w:oddHBand="0" w:evenHBand="0" w:firstRowFirstColumn="0" w:firstRowLastColumn="0" w:lastRowFirstColumn="0" w:lastRowLastColumn="0"/>
              <w:rPr>
                <w:sz w:val="16"/>
                <w:szCs w:val="16"/>
                <w:lang w:val="es-ES"/>
              </w:rPr>
            </w:pPr>
            <w:r>
              <w:rPr>
                <w:sz w:val="16"/>
                <w:szCs w:val="16"/>
                <w:lang w:val="es-ES"/>
              </w:rPr>
              <w:t>63448.3</w:t>
            </w:r>
          </w:p>
        </w:tc>
        <w:tc>
          <w:tcPr>
            <w:tcW w:w="737" w:type="dxa"/>
            <w:vAlign w:val="center"/>
          </w:tcPr>
          <w:p w:rsidR="00B31360" w:rsidRPr="00D33FA2" w:rsidRDefault="00B31360" w:rsidP="00E16DED">
            <w:pPr>
              <w:jc w:val="center"/>
              <w:cnfStyle w:val="000000000000" w:firstRow="0" w:lastRow="0" w:firstColumn="0" w:lastColumn="0" w:oddVBand="0" w:evenVBand="0" w:oddHBand="0" w:evenHBand="0" w:firstRowFirstColumn="0" w:firstRowLastColumn="0" w:lastRowFirstColumn="0" w:lastRowLastColumn="0"/>
              <w:rPr>
                <w:sz w:val="16"/>
                <w:szCs w:val="16"/>
                <w:lang w:val="es-ES"/>
              </w:rPr>
            </w:pPr>
          </w:p>
        </w:tc>
      </w:tr>
      <w:tr w:rsidR="00B31360" w:rsidTr="00E16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5" w:type="dxa"/>
            <w:vAlign w:val="center"/>
          </w:tcPr>
          <w:p w:rsidR="00B31360" w:rsidRPr="00D33FA2" w:rsidRDefault="00B31360" w:rsidP="00E16DED">
            <w:pPr>
              <w:ind w:firstLine="0"/>
              <w:jc w:val="center"/>
              <w:rPr>
                <w:sz w:val="16"/>
                <w:szCs w:val="16"/>
                <w:lang w:val="es-ES"/>
              </w:rPr>
            </w:pPr>
            <w:r>
              <w:rPr>
                <w:sz w:val="16"/>
                <w:szCs w:val="16"/>
                <w:lang w:val="es-ES"/>
              </w:rPr>
              <w:t>Total</w:t>
            </w:r>
          </w:p>
        </w:tc>
        <w:tc>
          <w:tcPr>
            <w:tcW w:w="759" w:type="dxa"/>
            <w:vAlign w:val="center"/>
          </w:tcPr>
          <w:p w:rsidR="00B31360" w:rsidRPr="00D33FA2" w:rsidRDefault="00B31360" w:rsidP="00E16DED">
            <w:pPr>
              <w:ind w:firstLine="0"/>
              <w:jc w:val="center"/>
              <w:cnfStyle w:val="000000100000" w:firstRow="0" w:lastRow="0" w:firstColumn="0" w:lastColumn="0" w:oddVBand="0" w:evenVBand="0" w:oddHBand="1" w:evenHBand="0" w:firstRowFirstColumn="0" w:firstRowLastColumn="0" w:lastRowFirstColumn="0" w:lastRowLastColumn="0"/>
              <w:rPr>
                <w:sz w:val="16"/>
                <w:szCs w:val="16"/>
                <w:lang w:val="es-ES"/>
              </w:rPr>
            </w:pPr>
            <w:r>
              <w:rPr>
                <w:sz w:val="16"/>
                <w:szCs w:val="16"/>
                <w:lang w:val="es-ES"/>
              </w:rPr>
              <w:t>15</w:t>
            </w:r>
          </w:p>
        </w:tc>
        <w:tc>
          <w:tcPr>
            <w:tcW w:w="943" w:type="dxa"/>
            <w:vAlign w:val="center"/>
          </w:tcPr>
          <w:p w:rsidR="00B31360" w:rsidRPr="00D33FA2" w:rsidRDefault="00B31360" w:rsidP="00E16DED">
            <w:pPr>
              <w:ind w:firstLine="0"/>
              <w:jc w:val="center"/>
              <w:cnfStyle w:val="000000100000" w:firstRow="0" w:lastRow="0" w:firstColumn="0" w:lastColumn="0" w:oddVBand="0" w:evenVBand="0" w:oddHBand="1" w:evenHBand="0" w:firstRowFirstColumn="0" w:firstRowLastColumn="0" w:lastRowFirstColumn="0" w:lastRowLastColumn="0"/>
              <w:rPr>
                <w:sz w:val="16"/>
                <w:szCs w:val="16"/>
                <w:lang w:val="es-ES"/>
              </w:rPr>
            </w:pPr>
            <w:r>
              <w:rPr>
                <w:sz w:val="16"/>
                <w:szCs w:val="16"/>
                <w:lang w:val="es-ES"/>
              </w:rPr>
              <w:t>134090</w:t>
            </w:r>
          </w:p>
        </w:tc>
        <w:tc>
          <w:tcPr>
            <w:tcW w:w="943" w:type="dxa"/>
            <w:vAlign w:val="center"/>
          </w:tcPr>
          <w:p w:rsidR="00B31360" w:rsidRPr="00D33FA2" w:rsidRDefault="00B31360" w:rsidP="00E16DED">
            <w:pPr>
              <w:ind w:firstLine="0"/>
              <w:jc w:val="center"/>
              <w:cnfStyle w:val="000000100000" w:firstRow="0" w:lastRow="0" w:firstColumn="0" w:lastColumn="0" w:oddVBand="0" w:evenVBand="0" w:oddHBand="1" w:evenHBand="0" w:firstRowFirstColumn="0" w:firstRowLastColumn="0" w:lastRowFirstColumn="0" w:lastRowLastColumn="0"/>
              <w:rPr>
                <w:sz w:val="16"/>
                <w:szCs w:val="16"/>
                <w:lang w:val="es-ES"/>
              </w:rPr>
            </w:pPr>
            <w:r>
              <w:rPr>
                <w:sz w:val="16"/>
                <w:szCs w:val="16"/>
                <w:lang w:val="es-ES"/>
              </w:rPr>
              <w:t>13409.0</w:t>
            </w:r>
          </w:p>
        </w:tc>
        <w:tc>
          <w:tcPr>
            <w:tcW w:w="737" w:type="dxa"/>
            <w:vAlign w:val="center"/>
          </w:tcPr>
          <w:p w:rsidR="00B31360" w:rsidRPr="00D33FA2" w:rsidRDefault="00B31360" w:rsidP="00E16DED">
            <w:pPr>
              <w:jc w:val="center"/>
              <w:cnfStyle w:val="000000100000" w:firstRow="0" w:lastRow="0" w:firstColumn="0" w:lastColumn="0" w:oddVBand="0" w:evenVBand="0" w:oddHBand="1" w:evenHBand="0" w:firstRowFirstColumn="0" w:firstRowLastColumn="0" w:lastRowFirstColumn="0" w:lastRowLastColumn="0"/>
              <w:rPr>
                <w:sz w:val="16"/>
                <w:szCs w:val="16"/>
                <w:lang w:val="es-ES"/>
              </w:rPr>
            </w:pPr>
          </w:p>
        </w:tc>
      </w:tr>
    </w:tbl>
    <w:p w:rsidR="00B31360" w:rsidRPr="00367427" w:rsidRDefault="00E16DED" w:rsidP="00367427">
      <w:pPr>
        <w:rPr>
          <w:i/>
          <w:sz w:val="16"/>
          <w:szCs w:val="16"/>
          <w:lang w:val="es-ES"/>
        </w:rPr>
      </w:pPr>
      <w:r w:rsidRPr="00E16DED">
        <w:rPr>
          <w:i/>
          <w:sz w:val="16"/>
          <w:szCs w:val="16"/>
          <w:lang w:val="es-ES"/>
        </w:rPr>
        <w:t>*A: Concentración inicial (mg/L); B: Tiempo de residencia.</w:t>
      </w:r>
    </w:p>
    <w:p w:rsidR="004D09C0" w:rsidRDefault="00C62CCD" w:rsidP="004D09C0">
      <w:r w:rsidRPr="00B93918">
        <w:t>De acuerdo al análisis de varianza, y teniendo en cuenta los valores de la suma de los cuadrados de la desviación y la prueba estadís</w:t>
      </w:r>
      <w:r>
        <w:t xml:space="preserve">tica P (con un 95% </w:t>
      </w:r>
      <w:r w:rsidRPr="00B93918">
        <w:t xml:space="preserve">de confiabilidad), se puede concluir que el factor de mayor influencia en </w:t>
      </w:r>
      <w:r>
        <w:t xml:space="preserve">la capacidad de remoción y </w:t>
      </w:r>
      <w:r w:rsidRPr="00B93918">
        <w:t>el tiempo de ruptura es la concentració</w:t>
      </w:r>
      <w:r>
        <w:t>n inicial de la solución de cromo</w:t>
      </w:r>
      <w:r w:rsidRPr="00B93918">
        <w:t xml:space="preserve">. No sorprende que la concentración del caudal de alimentación sea el factor que más afecta </w:t>
      </w:r>
      <w:r>
        <w:t>las variables de respuesta</w:t>
      </w:r>
      <w:r w:rsidRPr="00B93918">
        <w:t xml:space="preserve"> ya que precisamente la dif</w:t>
      </w:r>
      <w:r>
        <w:t xml:space="preserve">erencia de concentración de cromo entre la solución y </w:t>
      </w:r>
      <w:r w:rsidRPr="00B93918">
        <w:t xml:space="preserve">el lecho es la fuerza impulsora de la transferencia de masa, </w:t>
      </w:r>
      <w:r>
        <w:t xml:space="preserve">hecho que </w:t>
      </w:r>
      <w:r w:rsidRPr="00B93918">
        <w:t>el análisis de varianza confirma.</w:t>
      </w:r>
    </w:p>
    <w:p w:rsidR="004D09C0" w:rsidRDefault="00C62CCD" w:rsidP="004D09C0">
      <w:r>
        <w:t xml:space="preserve"> En las figuras que se analizarán en breve (Fig. 6-8) se observa un comportamiento inusual impropio de las curvas de ruptura consistente en que estas no parten del origen, como regularmente lo hacen. Se realizaron múltiples ensayos con el fin de determinar si este fenómeno exhibido se debía a errores de medición; sin embargo, se determinó que no hubo tales errores en las mediciones realizadas. Podemos atribuir este hecho a que las concentraciones de alimentación fueron muy elevadas y que los tiempos de residencias eran muy pequeños en comparación con los de equilibrio de remoción, haciendo que el efluente comenzara a saturarse en ipso facto de forma axial unidireccional, así que el lecho no era adecuado para la remoción de este metal en específico, por lo que la primera muestra tomada en t=0 contenía cromo en cantidades elevadas.</w:t>
      </w:r>
    </w:p>
    <w:p w:rsidR="00C62CCD" w:rsidRDefault="00C62CCD" w:rsidP="004D09C0">
      <w:r>
        <w:t>Lo anterior explica además los cortos tiempos de servicio de altura de lecho reportados y la pobreza en los ajustes a los modelos clásicos. este comportamiento irregular es objeto de investigación en el marco del proyecto y se adelantan estudios para identificar qué otros metales reproducen este fenómeno y establecer criterios que permitan predecir qué características de estos metales son la fuente de estas irregularidades.</w:t>
      </w:r>
    </w:p>
    <w:p w:rsidR="002D1F2E" w:rsidRPr="002D1F2E" w:rsidRDefault="004D09C0" w:rsidP="002D1F2E">
      <w:pPr>
        <w:pStyle w:val="Prrafodelista"/>
        <w:numPr>
          <w:ilvl w:val="0"/>
          <w:numId w:val="14"/>
        </w:numPr>
        <w:tabs>
          <w:tab w:val="left" w:pos="6610"/>
        </w:tabs>
        <w:rPr>
          <w:i/>
        </w:rPr>
      </w:pPr>
      <w:r w:rsidRPr="004D09C0">
        <w:rPr>
          <w:rFonts w:cs="Times New Roman"/>
          <w:szCs w:val="20"/>
        </w:rPr>
        <w:t>Efecto de la altura del lecho</w:t>
      </w:r>
    </w:p>
    <w:p w:rsidR="004D09C0" w:rsidRDefault="004D09C0" w:rsidP="002D1F2E">
      <w:r w:rsidRPr="005372F8">
        <w:t xml:space="preserve">  Una altura de lecho mayor significa una mayor cantidad de biosorbente, entonces es de esperar que el tiempo de servicio de la columna se prolongue con un aumento de la altura del lecho, como se puede apreciar en la Fig.3. En un lecho de menor altura predomina el efecto de dispersión axial que es la prolongación del tiempo de residencia en el flujo unidireccional debido a que no se establece un flujo tipo pistón y en un lecho de mayor altura tenemos más sitios activos ya que hay mayor superficie expuesta donde se producirá la adsorción del ion metálico</w:t>
      </w:r>
      <w:r>
        <w:t xml:space="preserve"> </w:t>
      </w:r>
      <w:r>
        <w:fldChar w:fldCharType="begin"/>
      </w:r>
      <w:r>
        <w:instrText xml:space="preserve"> ADDIN EN.CITE &lt;EndNote&gt;&lt;Cite&gt;&lt;Author&gt;Gallardo&lt;/Author&gt;&lt;Year&gt;2008&lt;/Year&gt;&lt;RecNum&gt;15&lt;/RecNum&gt;&lt;DisplayText&gt;[15]&lt;/DisplayText&gt;&lt;record&gt;&lt;rec-number&gt;15&lt;/rec-number&gt;&lt;foreign-keys&gt;&lt;key app="EN" db-id="af55vdv5m25e9ve2er6xeed5fe2stf0fdwzw"&gt;15&lt;/key&gt;&lt;/foreign-keys&gt;&lt;ref-type name="Journal Article"&gt;17&lt;/ref-type&gt;&lt;contributors&gt;&lt;authors&gt;&lt;author&gt;E. Gallardo&lt;/author&gt;&lt;author&gt;S. Maioco&lt;/author&gt;&lt;author&gt;N.Francois&lt;/author&gt;&lt;/authors&gt;&lt;/contributors&gt;&lt;titles&gt;&lt;title&gt;Remoción de un colorante básico por adsorción con Quitosano y con un material compuesto de Quitosano-Zeolita&lt;/title&gt;&lt;/titles&gt;&lt;dates&gt;&lt;year&gt;2008&lt;/year&gt;&lt;/dates&gt;&lt;urls&gt;&lt;/urls&gt;&lt;/record&gt;&lt;/Cite&gt;&lt;/EndNote&gt;</w:instrText>
      </w:r>
      <w:r>
        <w:fldChar w:fldCharType="separate"/>
      </w:r>
      <w:r>
        <w:rPr>
          <w:noProof/>
        </w:rPr>
        <w:t>[</w:t>
      </w:r>
      <w:hyperlink w:anchor="_ENREF_15" w:tooltip="Gallardo, 2008 #15" w:history="1">
        <w:r w:rsidR="005E319C">
          <w:rPr>
            <w:noProof/>
          </w:rPr>
          <w:t>15</w:t>
        </w:r>
      </w:hyperlink>
      <w:r>
        <w:rPr>
          <w:noProof/>
        </w:rPr>
        <w:t>]</w:t>
      </w:r>
      <w:r>
        <w:fldChar w:fldCharType="end"/>
      </w:r>
      <w:r w:rsidRPr="005372F8">
        <w:t>.</w:t>
      </w:r>
      <w:r w:rsidRPr="002D1F2E">
        <w:rPr>
          <w:rFonts w:eastAsia="SimSun"/>
          <w:spacing w:val="-1"/>
          <w:lang w:val="es-US"/>
        </w:rPr>
        <w:t xml:space="preserve"> </w:t>
      </w:r>
      <w:r w:rsidRPr="005372F8">
        <w:t>Se realizó</w:t>
      </w:r>
      <w:r>
        <w:t xml:space="preserve"> una </w:t>
      </w:r>
      <w:r w:rsidRPr="005372F8">
        <w:t xml:space="preserve">prueba a concentración inicial de cromo de 70 mg/l, caudal de 7 ml/min y un tiempo de experimento de 2400 s </w:t>
      </w:r>
      <w:r>
        <w:t xml:space="preserve">como se muestra en la </w:t>
      </w:r>
      <w:r w:rsidRPr="005372F8">
        <w:t>Fig. 3</w:t>
      </w:r>
      <w:r>
        <w:t xml:space="preserve">. Es notorio que la curva con mayor altura de lecho se encuentra siempre a la derecha de las </w:t>
      </w:r>
      <w:r>
        <w:lastRenderedPageBreak/>
        <w:t>otras curvas, lo que se traduce en que a mayor altura del lecho el tiempo de servicio del lecho es mayor.</w:t>
      </w:r>
    </w:p>
    <w:p w:rsidR="00367A12" w:rsidRDefault="00367A12" w:rsidP="002D1F2E">
      <w:r>
        <w:rPr>
          <w:rFonts w:ascii="Arial" w:hAnsi="Arial" w:cs="Arial"/>
          <w:noProof/>
          <w:sz w:val="24"/>
          <w:szCs w:val="24"/>
          <w:lang w:eastAsia="es-CO"/>
        </w:rPr>
        <w:drawing>
          <wp:inline distT="0" distB="0" distL="0" distR="0" wp14:anchorId="270AE047" wp14:editId="674AC92D">
            <wp:extent cx="2925445" cy="1975633"/>
            <wp:effectExtent l="0" t="0" r="8255"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925445" cy="1975633"/>
                    </a:xfrm>
                    <a:prstGeom prst="rect">
                      <a:avLst/>
                    </a:prstGeom>
                    <a:noFill/>
                    <a:ln>
                      <a:noFill/>
                    </a:ln>
                  </pic:spPr>
                </pic:pic>
              </a:graphicData>
            </a:graphic>
          </wp:inline>
        </w:drawing>
      </w:r>
    </w:p>
    <w:p w:rsidR="00367A12" w:rsidRDefault="00367A12" w:rsidP="00367A12">
      <w:pPr>
        <w:ind w:left="360"/>
      </w:pPr>
      <w:r>
        <w:rPr>
          <w:sz w:val="16"/>
          <w:szCs w:val="16"/>
        </w:rPr>
        <w:t xml:space="preserve">   </w:t>
      </w:r>
      <w:r w:rsidRPr="00367A12">
        <w:rPr>
          <w:rFonts w:cs="Times New Roman"/>
          <w:b/>
          <w:bCs/>
          <w:sz w:val="16"/>
          <w:szCs w:val="18"/>
        </w:rPr>
        <w:t xml:space="preserve">Fig. 3.  Influencia de la altura del lecho en la biosorción de Cr sobre la cáscara de yuca ([Cr] = 70 mg/l, Caudal= 7 ml/min, t = 2400 s). </w:t>
      </w:r>
    </w:p>
    <w:p w:rsidR="002D1F2E" w:rsidRPr="006D4C9E" w:rsidRDefault="002D1F2E" w:rsidP="006D4C9E">
      <w:pPr>
        <w:pStyle w:val="Prrafodelista"/>
        <w:numPr>
          <w:ilvl w:val="0"/>
          <w:numId w:val="14"/>
        </w:numPr>
        <w:tabs>
          <w:tab w:val="left" w:pos="6610"/>
        </w:tabs>
        <w:rPr>
          <w:rFonts w:cs="Times New Roman"/>
          <w:szCs w:val="20"/>
        </w:rPr>
      </w:pPr>
      <w:r w:rsidRPr="002D1F2E">
        <w:rPr>
          <w:rFonts w:cs="Times New Roman"/>
          <w:szCs w:val="20"/>
        </w:rPr>
        <w:t>Efecto de la concentración de la alimentación</w:t>
      </w:r>
    </w:p>
    <w:p w:rsidR="006D4C9E" w:rsidRDefault="002D1F2E" w:rsidP="001E6ED4">
      <w:r>
        <w:t xml:space="preserve">    En la Fig.</w:t>
      </w:r>
      <w:r w:rsidRPr="004606C0">
        <w:t xml:space="preserve"> </w:t>
      </w:r>
      <w:r>
        <w:t>4 se logra evidenciar un cambio</w:t>
      </w:r>
      <w:r w:rsidRPr="004606C0">
        <w:t xml:space="preserve"> de la ca</w:t>
      </w:r>
      <w:r>
        <w:t>ntidad de cromo</w:t>
      </w:r>
      <w:r w:rsidRPr="004606C0">
        <w:t xml:space="preserve"> removido </w:t>
      </w:r>
      <w:r>
        <w:t>a concentraciones iniciales meno</w:t>
      </w:r>
      <w:r w:rsidRPr="004606C0">
        <w:t>r</w:t>
      </w:r>
      <w:r>
        <w:t>es. En las</w:t>
      </w:r>
      <w:r w:rsidRPr="004606C0">
        <w:t xml:space="preserve"> curvas de ruptura</w:t>
      </w:r>
      <w:r>
        <w:t xml:space="preserve"> representadas, se exhibió una importante diferencia del tiempo de ruptura entre las curvas cuyas</w:t>
      </w:r>
      <w:r w:rsidRPr="004606C0">
        <w:t xml:space="preserve"> concentracion</w:t>
      </w:r>
      <w:r>
        <w:t>es</w:t>
      </w:r>
      <w:r w:rsidRPr="004606C0">
        <w:t xml:space="preserve"> inicial</w:t>
      </w:r>
      <w:r>
        <w:t>es</w:t>
      </w:r>
      <w:r w:rsidRPr="004606C0">
        <w:t xml:space="preserve"> </w:t>
      </w:r>
      <w:r>
        <w:t>fueron de 70,</w:t>
      </w:r>
      <w:r w:rsidRPr="004606C0">
        <w:t xml:space="preserve"> </w:t>
      </w:r>
      <w:r>
        <w:t xml:space="preserve">19.54 y 120.4 mg/l.  </w:t>
      </w:r>
      <w:r w:rsidRPr="004606C0">
        <w:t>para</w:t>
      </w:r>
      <w:r>
        <w:t xml:space="preserve"> la curva de 120.4</w:t>
      </w:r>
      <w:r w:rsidRPr="004606C0">
        <w:t xml:space="preserve"> mg/l </w:t>
      </w:r>
      <w:r>
        <w:t>el lecho se saturó</w:t>
      </w:r>
      <w:r w:rsidRPr="004606C0">
        <w:t xml:space="preserve"> en un tiempo menor </w:t>
      </w:r>
      <w:r>
        <w:t>por</w:t>
      </w:r>
      <w:r w:rsidRPr="004606C0">
        <w:t xml:space="preserve"> ser mayor</w:t>
      </w:r>
      <w:r>
        <w:t xml:space="preserve"> la de mayor concentración</w:t>
      </w:r>
      <w:r w:rsidRPr="004606C0">
        <w:t>.</w:t>
      </w:r>
      <w:r>
        <w:t xml:space="preserve"> </w:t>
      </w:r>
      <w:r w:rsidRPr="003000E7">
        <w:t xml:space="preserve">Como bien es conocido de los fenómenos de adsorción, la fuerza impulsora del transporte de materia es la diferencia de concentración entre la disolución que contiene el adsorbato y el adsorbente, y que el coeficiente de difusión toma menores valores a diferencias de concentración menores, ocasionando una transferencia más </w:t>
      </w:r>
      <w:r>
        <w:t>lenta, en nuestro caso, del cromo en disolución</w:t>
      </w:r>
      <w:r w:rsidRPr="003000E7">
        <w:t xml:space="preserve"> hacia los sitios </w:t>
      </w:r>
      <w:r>
        <w:t xml:space="preserve">activos </w:t>
      </w:r>
      <w:r w:rsidRPr="003000E7">
        <w:t xml:space="preserve">de la superficie donde se hace efectivo el transporte de masa. De forma contraria, un aumento en la concentración </w:t>
      </w:r>
      <w:r>
        <w:t>en la</w:t>
      </w:r>
      <w:r w:rsidRPr="003000E7">
        <w:t xml:space="preserve"> corriente </w:t>
      </w:r>
      <w:r>
        <w:t>de alimentación</w:t>
      </w:r>
      <w:r w:rsidRPr="003000E7">
        <w:t xml:space="preserve"> provoca un aumento en la diferencia de concentración traduciéndose en un mayor valor del coeficiente de transferencia de masa o equivalentemente en un proceso de difusión de metal más rápido</w:t>
      </w:r>
      <w:r>
        <w:t xml:space="preserve"> </w:t>
      </w:r>
      <w:r>
        <w:fldChar w:fldCharType="begin"/>
      </w:r>
      <w:r>
        <w:instrText xml:space="preserve"> ADDIN EN.CITE &lt;EndNote&gt;&lt;Cite&gt;&lt;Author&gt;Treybal&lt;/Author&gt;&lt;RecNum&gt;17&lt;/RecNum&gt;&lt;DisplayText&gt;[16]&lt;/DisplayText&gt;&lt;record&gt;&lt;rec-number&gt;17&lt;/rec-number&gt;&lt;foreign-keys&gt;&lt;key app="EN" db-id="af55vdv5m25e9ve2er6xeed5fe2stf0fdwzw"&gt;17&lt;/key&gt;&lt;/foreign-keys&gt;&lt;ref-type name="Book"&gt;6&lt;/ref-type&gt;&lt;contributors&gt;&lt;authors&gt;&lt;author&gt;R. Treybal&lt;/author&gt;&lt;/authors&gt;&lt;/contributors&gt;&lt;titles&gt;&lt;title&gt;Operaciones de transferencia de masa&lt;/title&gt;&lt;/titles&gt;&lt;pages&gt;23&lt;/pages&gt;&lt;section&gt;23&lt;/section&gt;&lt;dates&gt;&lt;/dates&gt;&lt;urls&gt;&lt;/urls&gt;&lt;/record&gt;&lt;/Cite&gt;&lt;/EndNote&gt;</w:instrText>
      </w:r>
      <w:r>
        <w:fldChar w:fldCharType="separate"/>
      </w:r>
      <w:r>
        <w:rPr>
          <w:noProof/>
        </w:rPr>
        <w:t>[</w:t>
      </w:r>
      <w:hyperlink w:anchor="_ENREF_16" w:tooltip="Treybal,  #17" w:history="1">
        <w:r w:rsidR="005E319C">
          <w:rPr>
            <w:noProof/>
          </w:rPr>
          <w:t>16</w:t>
        </w:r>
      </w:hyperlink>
      <w:r>
        <w:rPr>
          <w:noProof/>
        </w:rPr>
        <w:t>]</w:t>
      </w:r>
      <w:r>
        <w:fldChar w:fldCharType="end"/>
      </w:r>
      <w:r>
        <w:t>.</w:t>
      </w:r>
    </w:p>
    <w:p w:rsidR="00367A12" w:rsidRPr="00367A12" w:rsidRDefault="00367A12" w:rsidP="001E6ED4">
      <w:pPr>
        <w:rPr>
          <w:rFonts w:cs="Times New Roman"/>
          <w:b/>
          <w:bCs/>
          <w:sz w:val="16"/>
          <w:szCs w:val="18"/>
        </w:rPr>
      </w:pPr>
      <w:r w:rsidRPr="00367A12">
        <w:rPr>
          <w:rFonts w:cs="Times New Roman"/>
          <w:b/>
          <w:bCs/>
          <w:noProof/>
          <w:sz w:val="16"/>
          <w:szCs w:val="18"/>
          <w:lang w:eastAsia="es-CO"/>
        </w:rPr>
        <w:drawing>
          <wp:inline distT="0" distB="0" distL="0" distR="0" wp14:anchorId="3E31AC4E" wp14:editId="12ABF791">
            <wp:extent cx="2925445" cy="1854580"/>
            <wp:effectExtent l="0" t="0" r="825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5445" cy="1854580"/>
                    </a:xfrm>
                    <a:prstGeom prst="rect">
                      <a:avLst/>
                    </a:prstGeom>
                    <a:noFill/>
                    <a:ln>
                      <a:noFill/>
                    </a:ln>
                  </pic:spPr>
                </pic:pic>
              </a:graphicData>
            </a:graphic>
          </wp:inline>
        </w:drawing>
      </w:r>
    </w:p>
    <w:p w:rsidR="00367A12" w:rsidRPr="00367A12" w:rsidRDefault="00367A12" w:rsidP="00367A12">
      <w:pPr>
        <w:ind w:left="360"/>
        <w:rPr>
          <w:rFonts w:cs="Times New Roman"/>
          <w:b/>
          <w:bCs/>
          <w:sz w:val="16"/>
          <w:szCs w:val="18"/>
        </w:rPr>
      </w:pPr>
      <w:r w:rsidRPr="00367A12">
        <w:rPr>
          <w:rFonts w:cs="Times New Roman"/>
          <w:b/>
          <w:bCs/>
          <w:sz w:val="16"/>
          <w:szCs w:val="18"/>
        </w:rPr>
        <w:t xml:space="preserve">Fig.4.  Influencia de la concentración de alimentación en la biosorción de Cr sobre la cáscara de yuca (caudal=7 ml/min, L= 9 cm, t = 2400 s). </w:t>
      </w:r>
    </w:p>
    <w:p w:rsidR="00367A12" w:rsidRDefault="00367A12" w:rsidP="00367A12">
      <w:pPr>
        <w:rPr>
          <w:lang w:val="es-ES"/>
        </w:rPr>
      </w:pPr>
    </w:p>
    <w:p w:rsidR="00367A12" w:rsidRPr="00367A12" w:rsidRDefault="00367A12" w:rsidP="001E6ED4">
      <w:pPr>
        <w:rPr>
          <w:lang w:val="es-ES"/>
        </w:rPr>
      </w:pPr>
    </w:p>
    <w:p w:rsidR="001E6ED4" w:rsidRPr="001E6ED4" w:rsidRDefault="002D1F2E" w:rsidP="001E6ED4">
      <w:pPr>
        <w:pStyle w:val="Prrafodelista"/>
        <w:numPr>
          <w:ilvl w:val="0"/>
          <w:numId w:val="14"/>
        </w:numPr>
        <w:tabs>
          <w:tab w:val="left" w:pos="6610"/>
        </w:tabs>
      </w:pPr>
      <w:r w:rsidRPr="006D4C9E">
        <w:rPr>
          <w:rFonts w:cs="Times New Roman"/>
          <w:szCs w:val="20"/>
        </w:rPr>
        <w:t>Efecto del caudal de alimentación</w:t>
      </w:r>
    </w:p>
    <w:p w:rsidR="001E6ED4" w:rsidRDefault="002D1F2E" w:rsidP="001E6ED4">
      <w:pPr>
        <w:tabs>
          <w:tab w:val="left" w:pos="6610"/>
        </w:tabs>
      </w:pPr>
      <w:r>
        <w:t>A partir de la Fig. 5</w:t>
      </w:r>
      <w:r w:rsidRPr="004606C0">
        <w:t xml:space="preserve"> se puede analizar el efecto que el caudal tiene sobre la remoción del ion metálico. A medida que el flujo de alimento es mayor, se observa concretamente una importante disminución del tiempo de ruptura.</w:t>
      </w:r>
    </w:p>
    <w:p w:rsidR="00511CDD" w:rsidRDefault="00511CDD" w:rsidP="00511CDD">
      <w:pPr>
        <w:tabs>
          <w:tab w:val="left" w:pos="6610"/>
        </w:tabs>
        <w:jc w:val="center"/>
      </w:pPr>
      <w:r>
        <w:rPr>
          <w:noProof/>
          <w:lang w:eastAsia="es-CO"/>
        </w:rPr>
        <w:drawing>
          <wp:inline distT="0" distB="0" distL="0" distR="0" wp14:anchorId="4A7D46C0" wp14:editId="43100EB7">
            <wp:extent cx="2707574" cy="171958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09566" cy="1720845"/>
                    </a:xfrm>
                    <a:prstGeom prst="rect">
                      <a:avLst/>
                    </a:prstGeom>
                    <a:noFill/>
                    <a:ln>
                      <a:noFill/>
                    </a:ln>
                  </pic:spPr>
                </pic:pic>
              </a:graphicData>
            </a:graphic>
          </wp:inline>
        </w:drawing>
      </w:r>
    </w:p>
    <w:p w:rsidR="00511CDD" w:rsidRPr="00511CDD" w:rsidRDefault="00511CDD" w:rsidP="00511CDD">
      <w:pPr>
        <w:ind w:left="360"/>
        <w:rPr>
          <w:rFonts w:cs="Times New Roman"/>
          <w:b/>
          <w:bCs/>
          <w:sz w:val="16"/>
          <w:szCs w:val="18"/>
        </w:rPr>
      </w:pPr>
      <w:r w:rsidRPr="00511CDD">
        <w:rPr>
          <w:rFonts w:cs="Times New Roman"/>
          <w:b/>
          <w:bCs/>
          <w:sz w:val="16"/>
          <w:szCs w:val="18"/>
        </w:rPr>
        <w:t>Fig. 5.  Influencia del caudal de alimentación en la biosorción de Cr total sobre la cáscara de yuca ([Cr total] = 40 mg/l, L= 14 cm, t = 2400 s).</w:t>
      </w:r>
    </w:p>
    <w:p w:rsidR="002D1F2E" w:rsidRDefault="002D1F2E" w:rsidP="001E6ED4">
      <w:r w:rsidRPr="00564F4C">
        <w:t>Para el análisis de la influencia del caudal de alimentació</w:t>
      </w:r>
      <w:r>
        <w:t>n del lecho, se realizó un ensayo donde se mantuvo constante</w:t>
      </w:r>
      <w:r w:rsidRPr="00564F4C">
        <w:t xml:space="preserve"> la concentración de </w:t>
      </w:r>
      <w:r>
        <w:t>cromo en 40 mg/l y</w:t>
      </w:r>
      <w:r w:rsidRPr="00564F4C">
        <w:t xml:space="preserve"> altura del lecho</w:t>
      </w:r>
      <w:r>
        <w:t xml:space="preserve"> en 14 cm</w:t>
      </w:r>
      <w:r w:rsidRPr="00564F4C">
        <w:t>,</w:t>
      </w:r>
      <w:r>
        <w:t xml:space="preserve"> mientras se usaron dos valores de caudal de 10 y 4 ml/min. En todo momento la curva de 4 ml/min se mantuvo más a la izquierda de la de 10 ml/min, mostrando así que a mayor caudal </w:t>
      </w:r>
      <w:r w:rsidRPr="00564F4C">
        <w:t>el tiempo de saturación del lecho es mucho más prolongado</w:t>
      </w:r>
      <w:r>
        <w:t>. L</w:t>
      </w:r>
      <w:r w:rsidRPr="00564F4C">
        <w:t xml:space="preserve">a diferencia radica en que a medida que el  </w:t>
      </w:r>
      <w:r>
        <w:t>caudal</w:t>
      </w:r>
      <w:r w:rsidRPr="00564F4C">
        <w:t xml:space="preserve">  entra en contacto con el lecho y pasa a través de él, este se va saturando la parte del  lecho por el cual ha ascendido la película de fluido y debajo de la película del  fluido se  tendrá una concentración de cromo mayor a la parte superior de la película teniendo en cuenta que a medida que avanza el fluido en el lecho</w:t>
      </w:r>
      <w:r>
        <w:t>,</w:t>
      </w:r>
      <w:r w:rsidRPr="00564F4C">
        <w:t xml:space="preserve"> hay caídas de presión por la resistencia al flujo  y porosidad dentro del l</w:t>
      </w:r>
      <w:r>
        <w:t xml:space="preserve">echo ocupada por aire, en caso </w:t>
      </w:r>
      <w:r w:rsidRPr="00564F4C">
        <w:t xml:space="preserve">que el flujo sea lo suficientemente alto como aliviar las caídas de presión, tiene lugar el retro mezclado de la película superior con la que </w:t>
      </w:r>
      <w:r>
        <w:t>se encuentra por debajo de esta</w:t>
      </w:r>
      <w:r w:rsidRPr="00564F4C">
        <w:t>, mientras  se tenga un flujo en el que aun teniendo caídas de presión dentro del lecho no se verá afectado el ascenso del fluido marcando un ritmo de ascenso casi constante.</w:t>
      </w:r>
      <w:r>
        <w:t xml:space="preserve"> </w:t>
      </w:r>
      <w:r w:rsidRPr="0000473E">
        <w:t>Se puede explicar este comportamiento entendiendo que cuando se aumenta el caudal de alimentación se favorece la interacción entre las moléculas de cromo con el medio adsorbente, lo cual tiene una gran importancia sobre la velocidad a la cual se produce la transferencia de materia</w:t>
      </w:r>
      <w:r>
        <w:t xml:space="preserve"> </w:t>
      </w:r>
      <w:r>
        <w:fldChar w:fldCharType="begin"/>
      </w:r>
      <w:r>
        <w:instrText xml:space="preserve"> ADDIN EN.CITE &lt;EndNote&gt;&lt;Cite&gt;&lt;Author&gt;García&lt;/Author&gt;&lt;Year&gt;2010&lt;/Year&gt;&lt;RecNum&gt;16&lt;/RecNum&gt;&lt;DisplayText&gt;[17]&lt;/DisplayText&gt;&lt;record&gt;&lt;rec-number&gt;16&lt;/rec-number&gt;&lt;foreign-keys&gt;&lt;key app="EN" db-id="af55vdv5m25e9ve2er6xeed5fe2stf0fdwzw"&gt;16&lt;/key&gt;&lt;/foreign-keys&gt;&lt;ref-type name="Journal Article"&gt;17&lt;/ref-type&gt;&lt;contributors&gt;&lt;authors&gt;&lt;author&gt;A. García&lt;/author&gt;&lt;author&gt;D. Gomez&lt;/author&gt;&lt;author&gt;J. Navaza&lt;/author&gt;&lt;author&gt;I. Vidal&lt;/author&gt;&lt;/authors&gt;&lt;/contributors&gt;&lt;titles&gt;&lt;title&gt;Comportamiento hidrodinámico y absorción de dióxido de carbono mediante reacción química con glucosamina en un reactor air-lift&lt;/title&gt;&lt;/titles&gt;&lt;dates&gt;&lt;year&gt;2010&lt;/year&gt;&lt;/dates&gt;&lt;urls&gt;&lt;/urls&gt;&lt;/record&gt;&lt;/Cite&gt;&lt;/EndNote&gt;</w:instrText>
      </w:r>
      <w:r>
        <w:fldChar w:fldCharType="separate"/>
      </w:r>
      <w:r>
        <w:rPr>
          <w:noProof/>
        </w:rPr>
        <w:t>[</w:t>
      </w:r>
      <w:hyperlink w:anchor="_ENREF_17" w:tooltip="García, 2010 #16" w:history="1">
        <w:r w:rsidR="005E319C">
          <w:rPr>
            <w:noProof/>
          </w:rPr>
          <w:t>17</w:t>
        </w:r>
      </w:hyperlink>
      <w:r>
        <w:rPr>
          <w:noProof/>
        </w:rPr>
        <w:t>]</w:t>
      </w:r>
      <w:r>
        <w:fldChar w:fldCharType="end"/>
      </w:r>
      <w:r w:rsidRPr="0000473E">
        <w:t>. Además, un aumento en el caudal incorpora consigo un menor tiempo de residencia que es sinónimo de una minimización en el tiempo de contacto en</w:t>
      </w:r>
      <w:r>
        <w:t>tre</w:t>
      </w:r>
      <w:r w:rsidRPr="0000473E">
        <w:t xml:space="preserve"> el adsorbente y el adsorbato.</w:t>
      </w:r>
    </w:p>
    <w:p w:rsidR="002E0E5D" w:rsidRDefault="002E0E5D" w:rsidP="002E0E5D">
      <w:pPr>
        <w:pStyle w:val="Prrafodelista"/>
        <w:numPr>
          <w:ilvl w:val="0"/>
          <w:numId w:val="12"/>
        </w:numPr>
        <w:rPr>
          <w:rFonts w:cs="Times New Roman"/>
          <w:b/>
          <w:i/>
        </w:rPr>
      </w:pPr>
      <w:r w:rsidRPr="002E0E5D">
        <w:rPr>
          <w:rFonts w:cs="Times New Roman"/>
          <w:b/>
          <w:i/>
        </w:rPr>
        <w:t>Ajuste a modelos</w:t>
      </w:r>
    </w:p>
    <w:p w:rsidR="002E0E5D" w:rsidRPr="002E0E5D" w:rsidRDefault="002E0E5D" w:rsidP="002E0E5D">
      <w:pPr>
        <w:pStyle w:val="Prrafodelista"/>
        <w:ind w:firstLine="0"/>
        <w:rPr>
          <w:rFonts w:cs="Times New Roman"/>
          <w:b/>
          <w:i/>
        </w:rPr>
      </w:pPr>
    </w:p>
    <w:p w:rsidR="002E0E5D" w:rsidRPr="002E0E5D" w:rsidRDefault="00A76F1A" w:rsidP="002E0E5D">
      <w:pPr>
        <w:pStyle w:val="Prrafodelista"/>
        <w:numPr>
          <w:ilvl w:val="0"/>
          <w:numId w:val="16"/>
        </w:numPr>
        <w:tabs>
          <w:tab w:val="left" w:pos="6610"/>
        </w:tabs>
        <w:rPr>
          <w:rFonts w:cs="Times New Roman"/>
          <w:szCs w:val="20"/>
        </w:rPr>
      </w:pPr>
      <w:r>
        <w:rPr>
          <w:rFonts w:cs="Times New Roman"/>
          <w:szCs w:val="20"/>
        </w:rPr>
        <w:t>Modelo de s</w:t>
      </w:r>
      <w:r w:rsidR="002E0E5D" w:rsidRPr="002E0E5D">
        <w:rPr>
          <w:rFonts w:cs="Times New Roman"/>
          <w:szCs w:val="20"/>
        </w:rPr>
        <w:t>uperficie de respuesta</w:t>
      </w:r>
    </w:p>
    <w:p w:rsidR="002E0E5D" w:rsidRDefault="002E0E5D" w:rsidP="002E0E5D">
      <w:pPr>
        <w:rPr>
          <w:i/>
          <w:lang w:val="es-US"/>
        </w:rPr>
      </w:pPr>
      <w:r>
        <w:rPr>
          <w:lang w:val="es-US"/>
        </w:rPr>
        <w:t>El</w:t>
      </w:r>
      <w:r w:rsidRPr="008A305E">
        <w:rPr>
          <w:lang w:val="es-US"/>
        </w:rPr>
        <w:t xml:space="preserve"> modelo matemático indica la relación existente </w:t>
      </w:r>
      <w:r>
        <w:rPr>
          <w:lang w:val="es-US"/>
        </w:rPr>
        <w:t>entre el tiempo de ruptura</w:t>
      </w:r>
      <w:r w:rsidRPr="008A305E">
        <w:rPr>
          <w:lang w:val="es-US"/>
        </w:rPr>
        <w:t xml:space="preserve"> y las principales fuentes de variación que para este caso son el tiempo de residencia que se comprende como la relación entre el caudal y la altura del lecho, por otro lado, se tiene la concentración inicial del cromo en la solución que entra en la columna empacada.</w:t>
      </w:r>
    </w:p>
    <w:p w:rsidR="002E0E5D" w:rsidRDefault="002E0E5D" w:rsidP="002E0E5D">
      <w:pPr>
        <w:rPr>
          <w:lang w:val="es-US"/>
        </w:rPr>
      </w:pPr>
      <m:oMath>
        <m:r>
          <w:rPr>
            <w:rFonts w:ascii="Cambria Math" w:hAnsi="Cambria Math"/>
            <w:lang w:val="es-US"/>
          </w:rPr>
          <m:t>Tiempo de ruptura=  0.1759 +  1.147x – 0.0647y + 0.9468</m:t>
        </m:r>
        <m:sSup>
          <m:sSupPr>
            <m:ctrlPr>
              <w:rPr>
                <w:rFonts w:ascii="Cambria Math" w:hAnsi="Cambria Math"/>
                <w:i/>
                <w:lang w:val="es-US"/>
              </w:rPr>
            </m:ctrlPr>
          </m:sSupPr>
          <m:e>
            <m:r>
              <w:rPr>
                <w:rFonts w:ascii="Cambria Math" w:hAnsi="Cambria Math"/>
                <w:lang w:val="es-US"/>
              </w:rPr>
              <m:t>x</m:t>
            </m:r>
          </m:e>
          <m:sup>
            <m:r>
              <w:rPr>
                <w:rFonts w:ascii="Cambria Math" w:hAnsi="Cambria Math"/>
                <w:lang w:val="es-US"/>
              </w:rPr>
              <m:t>2</m:t>
            </m:r>
          </m:sup>
        </m:sSup>
        <m:r>
          <w:rPr>
            <w:rFonts w:ascii="Cambria Math" w:hAnsi="Cambria Math"/>
            <w:lang w:val="es-US"/>
          </w:rPr>
          <m:t>-0.3909xy +  0.00657</m:t>
        </m:r>
        <m:sSup>
          <m:sSupPr>
            <m:ctrlPr>
              <w:rPr>
                <w:rFonts w:ascii="Cambria Math" w:hAnsi="Cambria Math"/>
                <w:i/>
                <w:lang w:val="es-US"/>
              </w:rPr>
            </m:ctrlPr>
          </m:sSupPr>
          <m:e>
            <m:r>
              <w:rPr>
                <w:rFonts w:ascii="Cambria Math" w:hAnsi="Cambria Math"/>
                <w:lang w:val="es-US"/>
              </w:rPr>
              <m:t>y</m:t>
            </m:r>
          </m:e>
          <m:sup>
            <m:r>
              <w:rPr>
                <w:rFonts w:ascii="Cambria Math" w:hAnsi="Cambria Math"/>
                <w:lang w:val="es-US"/>
              </w:rPr>
              <m:t>2</m:t>
            </m:r>
          </m:sup>
        </m:sSup>
        <m:r>
          <w:rPr>
            <w:rFonts w:ascii="Cambria Math" w:hAnsi="Cambria Math"/>
            <w:lang w:val="es-US"/>
          </w:rPr>
          <m:t>-0.9687</m:t>
        </m:r>
        <m:sSup>
          <m:sSupPr>
            <m:ctrlPr>
              <w:rPr>
                <w:rFonts w:ascii="Cambria Math" w:hAnsi="Cambria Math"/>
                <w:i/>
                <w:lang w:val="es-US"/>
              </w:rPr>
            </m:ctrlPr>
          </m:sSupPr>
          <m:e>
            <m:r>
              <w:rPr>
                <w:rFonts w:ascii="Cambria Math" w:hAnsi="Cambria Math"/>
                <w:lang w:val="es-US"/>
              </w:rPr>
              <m:t>x</m:t>
            </m:r>
          </m:e>
          <m:sup>
            <m:r>
              <w:rPr>
                <w:rFonts w:ascii="Cambria Math" w:hAnsi="Cambria Math"/>
                <w:lang w:val="es-US"/>
              </w:rPr>
              <m:t>3</m:t>
            </m:r>
          </m:sup>
        </m:sSup>
        <m:r>
          <w:rPr>
            <w:rFonts w:ascii="Cambria Math" w:hAnsi="Cambria Math"/>
            <w:lang w:val="es-US"/>
          </w:rPr>
          <m:t xml:space="preserve"> -0.2866</m:t>
        </m:r>
        <m:sSup>
          <m:sSupPr>
            <m:ctrlPr>
              <w:rPr>
                <w:rFonts w:ascii="Cambria Math" w:hAnsi="Cambria Math"/>
                <w:i/>
                <w:lang w:val="es-US"/>
              </w:rPr>
            </m:ctrlPr>
          </m:sSupPr>
          <m:e>
            <m:r>
              <w:rPr>
                <w:rFonts w:ascii="Cambria Math" w:hAnsi="Cambria Math"/>
                <w:lang w:val="es-US"/>
              </w:rPr>
              <m:t>x</m:t>
            </m:r>
          </m:e>
          <m:sup>
            <m:r>
              <w:rPr>
                <w:rFonts w:ascii="Cambria Math" w:hAnsi="Cambria Math"/>
                <w:lang w:val="es-US"/>
              </w:rPr>
              <m:t>2</m:t>
            </m:r>
          </m:sup>
        </m:sSup>
        <m:r>
          <w:rPr>
            <w:rFonts w:ascii="Cambria Math" w:hAnsi="Cambria Math"/>
            <w:lang w:val="es-US"/>
          </w:rPr>
          <m:t>y +  0.1575x</m:t>
        </m:r>
        <m:sSup>
          <m:sSupPr>
            <m:ctrlPr>
              <w:rPr>
                <w:rFonts w:ascii="Cambria Math" w:hAnsi="Cambria Math"/>
                <w:i/>
                <w:lang w:val="es-US"/>
              </w:rPr>
            </m:ctrlPr>
          </m:sSupPr>
          <m:e>
            <m:r>
              <w:rPr>
                <w:rFonts w:ascii="Cambria Math" w:hAnsi="Cambria Math"/>
                <w:lang w:val="es-US"/>
              </w:rPr>
              <m:t>y</m:t>
            </m:r>
          </m:e>
          <m:sup>
            <m:r>
              <w:rPr>
                <w:rFonts w:ascii="Cambria Math" w:hAnsi="Cambria Math"/>
                <w:lang w:val="es-US"/>
              </w:rPr>
              <m:t>2</m:t>
            </m:r>
          </m:sup>
        </m:sSup>
        <m:r>
          <w:rPr>
            <w:rFonts w:ascii="Cambria Math" w:hAnsi="Cambria Math"/>
            <w:lang w:val="es-US"/>
          </w:rPr>
          <m:t xml:space="preserve">  +  0.1013</m:t>
        </m:r>
        <m:sSup>
          <m:sSupPr>
            <m:ctrlPr>
              <w:rPr>
                <w:rFonts w:ascii="Cambria Math" w:hAnsi="Cambria Math"/>
                <w:i/>
                <w:lang w:val="es-US"/>
              </w:rPr>
            </m:ctrlPr>
          </m:sSupPr>
          <m:e>
            <m:r>
              <w:rPr>
                <w:rFonts w:ascii="Cambria Math" w:hAnsi="Cambria Math"/>
                <w:lang w:val="es-US"/>
              </w:rPr>
              <m:t>y</m:t>
            </m:r>
          </m:e>
          <m:sup>
            <m:r>
              <w:rPr>
                <w:rFonts w:ascii="Cambria Math" w:hAnsi="Cambria Math"/>
                <w:lang w:val="es-US"/>
              </w:rPr>
              <m:t>3</m:t>
            </m:r>
          </m:sup>
        </m:sSup>
      </m:oMath>
      <w:r w:rsidRPr="00BB206C">
        <w:rPr>
          <w:i/>
          <w:lang w:val="es-US"/>
        </w:rPr>
        <w:t xml:space="preserve">                 </w:t>
      </w:r>
      <w:r>
        <w:rPr>
          <w:i/>
          <w:lang w:val="es-US"/>
        </w:rPr>
        <w:t xml:space="preserve">                        </w:t>
      </w:r>
      <w:r w:rsidRPr="00BB206C">
        <w:rPr>
          <w:lang w:val="es-US"/>
        </w:rPr>
        <w:t>(10)</w:t>
      </w:r>
    </w:p>
    <w:p w:rsidR="002E0E5D" w:rsidRDefault="002E0E5D" w:rsidP="002E0E5D">
      <w:pPr>
        <w:rPr>
          <w:lang w:val="es-US"/>
        </w:rPr>
      </w:pPr>
      <w:r>
        <w:rPr>
          <w:lang w:val="es-US"/>
        </w:rPr>
        <w:t xml:space="preserve">Donde </w:t>
      </w:r>
      <w:r w:rsidRPr="002A676A">
        <w:rPr>
          <w:lang w:val="es-US"/>
        </w:rPr>
        <w:t>x</w:t>
      </w:r>
      <w:r>
        <w:rPr>
          <w:lang w:val="es-US"/>
        </w:rPr>
        <w:t xml:space="preserve"> es la concentración inicial e </w:t>
      </w:r>
      <w:r>
        <w:rPr>
          <w:i/>
          <w:lang w:val="es-US"/>
        </w:rPr>
        <w:t>y</w:t>
      </w:r>
      <w:r>
        <w:rPr>
          <w:lang w:val="es-US"/>
        </w:rPr>
        <w:t xml:space="preserve"> </w:t>
      </w:r>
      <w:r w:rsidRPr="002A676A">
        <w:rPr>
          <w:lang w:val="es-US"/>
        </w:rPr>
        <w:t>el tiempo</w:t>
      </w:r>
      <w:r>
        <w:rPr>
          <w:lang w:val="es-US"/>
        </w:rPr>
        <w:t xml:space="preserve"> de residencia en cada caso. El valor</w:t>
      </w:r>
      <w:r w:rsidRPr="002A676A">
        <w:rPr>
          <w:lang w:val="es-US"/>
        </w:rPr>
        <w:t xml:space="preserve"> de R</w:t>
      </w:r>
      <w:r w:rsidRPr="002A676A">
        <w:rPr>
          <w:vertAlign w:val="superscript"/>
          <w:lang w:val="es-US"/>
        </w:rPr>
        <w:t>2</w:t>
      </w:r>
      <w:r>
        <w:rPr>
          <w:lang w:val="es-US"/>
        </w:rPr>
        <w:t xml:space="preserve"> fue 94.</w:t>
      </w:r>
      <w:r w:rsidRPr="002A676A">
        <w:rPr>
          <w:lang w:val="es-US"/>
        </w:rPr>
        <w:t xml:space="preserve">56% para </w:t>
      </w:r>
      <w:r>
        <w:rPr>
          <w:lang w:val="es-US"/>
        </w:rPr>
        <w:t>el tiempo de ruptura</w:t>
      </w:r>
      <w:r w:rsidRPr="002A676A">
        <w:rPr>
          <w:lang w:val="es-US"/>
        </w:rPr>
        <w:t>.</w:t>
      </w:r>
      <w:r>
        <w:rPr>
          <w:lang w:val="es-US"/>
        </w:rPr>
        <w:t xml:space="preserve"> La superficie</w:t>
      </w:r>
      <w:r w:rsidRPr="002A676A">
        <w:rPr>
          <w:lang w:val="es-US"/>
        </w:rPr>
        <w:t xml:space="preserve"> de respuesta </w:t>
      </w:r>
      <w:r>
        <w:rPr>
          <w:lang w:val="es-US"/>
        </w:rPr>
        <w:t>elaborada se muestra en la Fig. 6.</w:t>
      </w:r>
    </w:p>
    <w:p w:rsidR="00CF05D8" w:rsidRDefault="00CF05D8" w:rsidP="00CF05D8">
      <w:pPr>
        <w:pStyle w:val="Prrafodelista"/>
        <w:ind w:left="0"/>
        <w:rPr>
          <w:lang w:val="es-US"/>
        </w:rPr>
      </w:pPr>
      <w:r>
        <w:rPr>
          <w:lang w:val="es-US"/>
        </w:rPr>
        <w:t>En la Fig.</w:t>
      </w:r>
      <w:r w:rsidRPr="002A676A">
        <w:rPr>
          <w:lang w:val="es-US"/>
        </w:rPr>
        <w:t xml:space="preserve"> </w:t>
      </w:r>
      <w:r>
        <w:rPr>
          <w:lang w:val="es-US"/>
        </w:rPr>
        <w:t xml:space="preserve">6 se puede observar que el tiempo de ruptura disminuye con un aumento de la concentración inicial </w:t>
      </w:r>
      <w:r w:rsidRPr="002A676A">
        <w:rPr>
          <w:lang w:val="es-US"/>
        </w:rPr>
        <w:t>de cromo</w:t>
      </w:r>
      <w:r>
        <w:rPr>
          <w:lang w:val="es-US"/>
        </w:rPr>
        <w:t xml:space="preserve">, pero </w:t>
      </w:r>
      <w:r w:rsidRPr="002A676A">
        <w:rPr>
          <w:lang w:val="es-US"/>
        </w:rPr>
        <w:t xml:space="preserve">a medida que aumenta la </w:t>
      </w:r>
      <w:r>
        <w:rPr>
          <w:lang w:val="es-US"/>
        </w:rPr>
        <w:t>concentración inicial se notan</w:t>
      </w:r>
      <w:r w:rsidRPr="002A676A">
        <w:rPr>
          <w:lang w:val="es-US"/>
        </w:rPr>
        <w:t xml:space="preserve"> variaciones</w:t>
      </w:r>
      <w:r>
        <w:rPr>
          <w:lang w:val="es-US"/>
        </w:rPr>
        <w:t xml:space="preserve"> irregulares</w:t>
      </w:r>
      <w:r w:rsidRPr="002A676A">
        <w:rPr>
          <w:lang w:val="es-US"/>
        </w:rPr>
        <w:t xml:space="preserve"> con respecto al tiempo de ruptura</w:t>
      </w:r>
      <w:r>
        <w:rPr>
          <w:lang w:val="es-US"/>
        </w:rPr>
        <w:t>,</w:t>
      </w:r>
      <w:r w:rsidRPr="002A676A">
        <w:rPr>
          <w:lang w:val="es-US"/>
        </w:rPr>
        <w:t xml:space="preserve"> las cuales </w:t>
      </w:r>
      <w:r>
        <w:rPr>
          <w:lang w:val="es-US"/>
        </w:rPr>
        <w:t>están</w:t>
      </w:r>
      <w:r w:rsidRPr="002A676A">
        <w:rPr>
          <w:lang w:val="es-US"/>
        </w:rPr>
        <w:t xml:space="preserve"> relacion</w:t>
      </w:r>
      <w:r>
        <w:rPr>
          <w:lang w:val="es-US"/>
        </w:rPr>
        <w:t xml:space="preserve">adas </w:t>
      </w:r>
      <w:r w:rsidRPr="002A676A">
        <w:rPr>
          <w:lang w:val="es-US"/>
        </w:rPr>
        <w:t>con</w:t>
      </w:r>
      <w:r>
        <w:rPr>
          <w:lang w:val="es-US"/>
        </w:rPr>
        <w:t xml:space="preserve"> intervalos particulares de caudal y </w:t>
      </w:r>
      <w:r w:rsidRPr="002A676A">
        <w:rPr>
          <w:lang w:val="es-US"/>
        </w:rPr>
        <w:t>altura del lecho</w:t>
      </w:r>
      <w:r>
        <w:rPr>
          <w:lang w:val="es-US"/>
        </w:rPr>
        <w:t xml:space="preserve"> que aplican sus efectos de manera implícita en </w:t>
      </w:r>
      <w:r w:rsidRPr="002A676A">
        <w:rPr>
          <w:lang w:val="es-US"/>
        </w:rPr>
        <w:t xml:space="preserve">el tiempo de residencia </w:t>
      </w:r>
      <w:r>
        <w:rPr>
          <w:lang w:val="es-US"/>
        </w:rPr>
        <w:t xml:space="preserve">ya </w:t>
      </w:r>
      <w:r w:rsidRPr="002A676A">
        <w:rPr>
          <w:lang w:val="es-US"/>
        </w:rPr>
        <w:t>que fue calculado a partir d</w:t>
      </w:r>
      <w:r>
        <w:rPr>
          <w:lang w:val="es-US"/>
        </w:rPr>
        <w:t>e las mismas. Ejemplo de lo anterior se puede evidenciar en el plano de intersección de tiempo de residencia igual a dos minutos, donde se notan al menos tres cambios en la monotonía de la curva de intersección con el plano antes mencionado a lo largo de todo el intervalo de concentración inicial.</w:t>
      </w:r>
    </w:p>
    <w:p w:rsidR="00511CDD" w:rsidRDefault="00511CDD" w:rsidP="00CF05D8">
      <w:pPr>
        <w:pStyle w:val="Prrafodelista"/>
        <w:ind w:left="0"/>
        <w:rPr>
          <w:lang w:val="es-US"/>
        </w:rPr>
      </w:pPr>
      <w:r w:rsidRPr="008A305E">
        <w:rPr>
          <w:i/>
          <w:noProof/>
          <w:lang w:eastAsia="es-CO"/>
        </w:rPr>
        <w:drawing>
          <wp:anchor distT="0" distB="0" distL="114300" distR="114300" simplePos="0" relativeHeight="251659264" behindDoc="0" locked="0" layoutInCell="1" allowOverlap="1" wp14:anchorId="69C969DC" wp14:editId="6EEF12EE">
            <wp:simplePos x="0" y="0"/>
            <wp:positionH relativeFrom="column">
              <wp:posOffset>3175</wp:posOffset>
            </wp:positionH>
            <wp:positionV relativeFrom="paragraph">
              <wp:posOffset>267970</wp:posOffset>
            </wp:positionV>
            <wp:extent cx="3115310" cy="1769110"/>
            <wp:effectExtent l="0" t="0" r="8890" b="2540"/>
            <wp:wrapSquare wrapText="bothSides"/>
            <wp:docPr id="51" name="Imagen 51"/>
            <wp:cNvGraphicFramePr/>
            <a:graphic xmlns:a="http://schemas.openxmlformats.org/drawingml/2006/main">
              <a:graphicData uri="http://schemas.openxmlformats.org/drawingml/2006/picture">
                <pic:pic xmlns:pic="http://schemas.openxmlformats.org/drawingml/2006/picture">
                  <pic:nvPicPr>
                    <pic:cNvPr id="51" name="Imagen 51"/>
                    <pic:cNvPicPr/>
                  </pic:nvPicPr>
                  <pic:blipFill>
                    <a:blip r:embed="rId16" cstate="print">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115310" cy="17691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4715C" w:rsidRDefault="0074715C" w:rsidP="0074715C">
      <w:pPr>
        <w:rPr>
          <w:rFonts w:cs="Times New Roman"/>
          <w:b/>
          <w:bCs/>
          <w:sz w:val="16"/>
          <w:szCs w:val="18"/>
        </w:rPr>
      </w:pPr>
    </w:p>
    <w:p w:rsidR="0074715C" w:rsidRPr="0074715C" w:rsidRDefault="0074715C" w:rsidP="0074715C">
      <w:pPr>
        <w:rPr>
          <w:rFonts w:cs="Times New Roman"/>
          <w:b/>
          <w:bCs/>
          <w:sz w:val="16"/>
          <w:szCs w:val="18"/>
        </w:rPr>
      </w:pPr>
      <w:r w:rsidRPr="0074715C">
        <w:rPr>
          <w:rFonts w:cs="Times New Roman"/>
          <w:b/>
          <w:bCs/>
          <w:sz w:val="16"/>
          <w:szCs w:val="18"/>
        </w:rPr>
        <w:t>Fig. 6. Superficie de respuesta para el Tiempo de ruptura en función de la    concentración inicial y el tiempo de residencia.</w:t>
      </w:r>
    </w:p>
    <w:p w:rsidR="00CF05D8" w:rsidRDefault="00CF05D8" w:rsidP="00CF05D8">
      <w:pPr>
        <w:rPr>
          <w:lang w:val="es-ES"/>
        </w:rPr>
      </w:pPr>
      <w:r>
        <w:rPr>
          <w:lang w:val="es-ES"/>
        </w:rPr>
        <w:t>Si derivamos parcialmente la ecuación (17) para obtener el tiempo de ruptura optimo y solucionando el sistema 2x2 obtenido se tiene que:</w:t>
      </w:r>
    </w:p>
    <w:p w:rsidR="00CF05D8" w:rsidRDefault="00B263E8" w:rsidP="00CF05D8">
      <w:pPr>
        <w:rPr>
          <w:lang w:val="es-ES"/>
        </w:rPr>
      </w:pPr>
      <m:oMathPara>
        <m:oMath>
          <m:f>
            <m:fPr>
              <m:ctrlPr>
                <w:rPr>
                  <w:rFonts w:ascii="Cambria Math" w:hAnsi="Cambria Math"/>
                  <w:i/>
                  <w:lang w:val="es-ES"/>
                </w:rPr>
              </m:ctrlPr>
            </m:fPr>
            <m:num>
              <m:r>
                <w:rPr>
                  <w:rFonts w:ascii="Cambria Math" w:hAnsi="Cambria Math"/>
                  <w:lang w:val="es-ES"/>
                </w:rPr>
                <m:t>∂</m:t>
              </m:r>
              <m:sSub>
                <m:sSubPr>
                  <m:ctrlPr>
                    <w:rPr>
                      <w:rFonts w:ascii="Cambria Math" w:hAnsi="Cambria Math"/>
                      <w:i/>
                      <w:lang w:val="es-ES"/>
                    </w:rPr>
                  </m:ctrlPr>
                </m:sSubPr>
                <m:e>
                  <m:r>
                    <w:rPr>
                      <w:rFonts w:ascii="Cambria Math" w:hAnsi="Cambria Math"/>
                      <w:lang w:val="es-ES"/>
                    </w:rPr>
                    <m:t>T</m:t>
                  </m:r>
                </m:e>
                <m:sub>
                  <m:r>
                    <w:rPr>
                      <w:rFonts w:ascii="Cambria Math" w:hAnsi="Cambria Math"/>
                      <w:lang w:val="es-ES"/>
                    </w:rPr>
                    <m:t>rup</m:t>
                  </m:r>
                </m:sub>
              </m:sSub>
            </m:num>
            <m:den>
              <m:r>
                <w:rPr>
                  <w:rFonts w:ascii="Cambria Math" w:hAnsi="Cambria Math"/>
                  <w:lang w:val="es-ES"/>
                </w:rPr>
                <m:t>∂x</m:t>
              </m:r>
            </m:den>
          </m:f>
          <m:r>
            <w:rPr>
              <w:rFonts w:ascii="Cambria Math" w:hAnsi="Cambria Math"/>
              <w:lang w:val="es-ES"/>
            </w:rPr>
            <m:t xml:space="preserve">=0    y     </m:t>
          </m:r>
          <m:f>
            <m:fPr>
              <m:ctrlPr>
                <w:rPr>
                  <w:rFonts w:ascii="Cambria Math" w:hAnsi="Cambria Math"/>
                  <w:i/>
                  <w:lang w:val="es-ES"/>
                </w:rPr>
              </m:ctrlPr>
            </m:fPr>
            <m:num>
              <m:r>
                <w:rPr>
                  <w:rFonts w:ascii="Cambria Math" w:hAnsi="Cambria Math"/>
                  <w:lang w:val="es-ES"/>
                </w:rPr>
                <m:t>∂</m:t>
              </m:r>
              <m:sSub>
                <m:sSubPr>
                  <m:ctrlPr>
                    <w:rPr>
                      <w:rFonts w:ascii="Cambria Math" w:hAnsi="Cambria Math"/>
                      <w:i/>
                      <w:lang w:val="es-ES"/>
                    </w:rPr>
                  </m:ctrlPr>
                </m:sSubPr>
                <m:e>
                  <m:r>
                    <w:rPr>
                      <w:rFonts w:ascii="Cambria Math" w:hAnsi="Cambria Math"/>
                      <w:lang w:val="es-ES"/>
                    </w:rPr>
                    <m:t>T</m:t>
                  </m:r>
                </m:e>
                <m:sub>
                  <m:r>
                    <w:rPr>
                      <w:rFonts w:ascii="Cambria Math" w:hAnsi="Cambria Math"/>
                      <w:lang w:val="es-ES"/>
                    </w:rPr>
                    <m:t>rup</m:t>
                  </m:r>
                </m:sub>
              </m:sSub>
            </m:num>
            <m:den>
              <m:r>
                <w:rPr>
                  <w:rFonts w:ascii="Cambria Math" w:hAnsi="Cambria Math"/>
                  <w:lang w:val="es-ES"/>
                </w:rPr>
                <m:t>∂y</m:t>
              </m:r>
            </m:den>
          </m:f>
          <m:r>
            <w:rPr>
              <w:rFonts w:ascii="Cambria Math" w:hAnsi="Cambria Math"/>
              <w:lang w:val="es-ES"/>
            </w:rPr>
            <m:t xml:space="preserve">=0 </m:t>
          </m:r>
        </m:oMath>
      </m:oMathPara>
    </w:p>
    <w:p w:rsidR="00CD226A" w:rsidRDefault="00CF05D8" w:rsidP="00CD226A">
      <w:pPr>
        <w:rPr>
          <w:lang w:val="es-ES"/>
        </w:rPr>
      </w:pPr>
      <w:r>
        <w:rPr>
          <w:lang w:val="es-ES"/>
        </w:rPr>
        <w:lastRenderedPageBreak/>
        <w:t>De donde</w:t>
      </w:r>
    </w:p>
    <w:p w:rsidR="00CF05D8" w:rsidRDefault="00CF05D8" w:rsidP="00CD226A">
      <w:pPr>
        <w:rPr>
          <w:lang w:val="es-ES"/>
        </w:rPr>
      </w:pPr>
      <m:oMathPara>
        <m:oMath>
          <m:r>
            <w:rPr>
              <w:rFonts w:ascii="Cambria Math" w:hAnsi="Cambria Math"/>
              <w:lang w:val="es-ES"/>
            </w:rPr>
            <m:t>x=0.8306</m:t>
          </m:r>
          <m:f>
            <m:fPr>
              <m:ctrlPr>
                <w:rPr>
                  <w:rFonts w:ascii="Cambria Math" w:hAnsi="Cambria Math"/>
                  <w:i/>
                  <w:lang w:val="es-ES"/>
                </w:rPr>
              </m:ctrlPr>
            </m:fPr>
            <m:num>
              <m:r>
                <w:rPr>
                  <w:rFonts w:ascii="Cambria Math" w:hAnsi="Cambria Math"/>
                  <w:lang w:val="es-ES"/>
                </w:rPr>
                <m:t>mg</m:t>
              </m:r>
            </m:num>
            <m:den>
              <m:r>
                <w:rPr>
                  <w:rFonts w:ascii="Cambria Math" w:hAnsi="Cambria Math"/>
                  <w:lang w:val="es-ES"/>
                </w:rPr>
                <m:t>l</m:t>
              </m:r>
            </m:den>
          </m:f>
          <m:r>
            <w:rPr>
              <w:rFonts w:ascii="Cambria Math" w:hAnsi="Cambria Math"/>
              <w:lang w:val="es-ES"/>
            </w:rPr>
            <m:t xml:space="preserve">   e    y=1.00 min</m:t>
          </m:r>
          <m:r>
            <m:rPr>
              <m:sty m:val="p"/>
            </m:rPr>
            <w:rPr>
              <w:rFonts w:ascii="Cambria Math" w:hAnsi="Cambria Math"/>
              <w:lang w:val="es-ES"/>
            </w:rPr>
            <m:t xml:space="preserve"> </m:t>
          </m:r>
          <m:r>
            <w:rPr>
              <w:rFonts w:ascii="Cambria Math" w:hAnsi="Cambria Math"/>
              <w:lang w:val="es-ES"/>
            </w:rPr>
            <m:t xml:space="preserve"> </m:t>
          </m:r>
        </m:oMath>
      </m:oMathPara>
    </w:p>
    <w:p w:rsidR="00CF05D8" w:rsidRDefault="00CF05D8" w:rsidP="00CF05D8">
      <w:pPr>
        <w:rPr>
          <w:lang w:val="es-ES"/>
        </w:rPr>
      </w:pPr>
      <w:r>
        <w:rPr>
          <w:lang w:val="es-ES"/>
        </w:rPr>
        <w:t xml:space="preserve">Reemplazando estos valores en la ecuación (17) tenemos que el tiempo de ruptura optimo es de 0.88 min. Nos referimos como óptimo a este valor porque es el que usa menos volumen de lecho y alcanza la capacidad de adsorción máxima. </w:t>
      </w:r>
    </w:p>
    <w:p w:rsidR="00B869C2" w:rsidRPr="00B869C2" w:rsidRDefault="00CF05D8" w:rsidP="00B869C2">
      <w:pPr>
        <w:pStyle w:val="Prrafodelista"/>
        <w:numPr>
          <w:ilvl w:val="0"/>
          <w:numId w:val="16"/>
        </w:numPr>
        <w:tabs>
          <w:tab w:val="left" w:pos="6610"/>
        </w:tabs>
      </w:pPr>
      <w:r w:rsidRPr="00FA689E">
        <w:rPr>
          <w:rFonts w:cs="Times New Roman"/>
          <w:szCs w:val="20"/>
        </w:rPr>
        <w:t xml:space="preserve">Modelo de </w:t>
      </w:r>
      <w:proofErr w:type="spellStart"/>
      <w:r w:rsidRPr="00FA689E">
        <w:rPr>
          <w:rFonts w:cs="Times New Roman"/>
          <w:szCs w:val="20"/>
        </w:rPr>
        <w:t>Yoon</w:t>
      </w:r>
      <w:proofErr w:type="spellEnd"/>
      <w:r w:rsidRPr="00FA689E">
        <w:rPr>
          <w:rFonts w:cs="Times New Roman"/>
          <w:szCs w:val="20"/>
        </w:rPr>
        <w:t xml:space="preserve">-Nelson </w:t>
      </w:r>
    </w:p>
    <w:p w:rsidR="00CF05D8" w:rsidRDefault="009A467D" w:rsidP="00B869C2">
      <w:pPr>
        <w:tabs>
          <w:tab w:val="left" w:pos="6610"/>
        </w:tabs>
      </w:pPr>
      <w:r>
        <w:t>E</w:t>
      </w:r>
      <w:r w:rsidR="00CF05D8">
        <w:t>l modelo de</w:t>
      </w:r>
      <w:r>
        <w:t xml:space="preserve"> </w:t>
      </w:r>
      <w:proofErr w:type="spellStart"/>
      <w:r>
        <w:t>Yoon</w:t>
      </w:r>
      <w:proofErr w:type="spellEnd"/>
      <w:r>
        <w:t>,</w:t>
      </w:r>
      <w:r w:rsidR="00CF05D8" w:rsidRPr="00E438B2">
        <w:t xml:space="preserve"> solo en algunos casos presenta aproximaciones aceptables pero en general no es lo suficientemente acertado</w:t>
      </w:r>
      <w:r w:rsidR="00CF05D8">
        <w:t>;</w:t>
      </w:r>
      <w:r w:rsidR="00CF05D8" w:rsidRPr="00E438B2">
        <w:t xml:space="preserve"> por ejemplo se presenta la Fig</w:t>
      </w:r>
      <w:r>
        <w:t>. 7  s</w:t>
      </w:r>
      <w:r w:rsidR="00CF05D8" w:rsidRPr="00E438B2">
        <w:t>e muestra lo más acerc</w:t>
      </w:r>
      <w:r w:rsidR="00CF05D8">
        <w:t xml:space="preserve">ado que pudo estar el modelo </w:t>
      </w:r>
      <w:r w:rsidR="00CF05D8" w:rsidRPr="00E438B2">
        <w:t>de la curva de ruptura experimental para un valor de R</w:t>
      </w:r>
      <w:r w:rsidR="00CF05D8" w:rsidRPr="00B869C2">
        <w:rPr>
          <w:vertAlign w:val="superscript"/>
        </w:rPr>
        <w:t>2</w:t>
      </w:r>
      <w:r w:rsidR="00CF05D8" w:rsidRPr="00E438B2">
        <w:t xml:space="preserve"> de 0.9226, en la cual se puedo apreciar que solamente se intersectan las dos curvas cuando están llegando a la saturación com</w:t>
      </w:r>
      <w:r w:rsidR="00CF05D8">
        <w:t>pleta del lecho, no obstante, en</w:t>
      </w:r>
      <w:r w:rsidR="00CF05D8" w:rsidRPr="00E438B2">
        <w:t xml:space="preserve"> los puntos anteriores a estos </w:t>
      </w:r>
      <w:r w:rsidR="00CF05D8">
        <w:t>se aprecian</w:t>
      </w:r>
      <w:r w:rsidR="00CF05D8" w:rsidRPr="00E438B2">
        <w:t xml:space="preserve"> diferencias significativas.</w:t>
      </w:r>
    </w:p>
    <w:p w:rsidR="003F30C3" w:rsidRDefault="003F30C3" w:rsidP="003F30C3">
      <w:pPr>
        <w:tabs>
          <w:tab w:val="left" w:pos="6610"/>
        </w:tabs>
        <w:jc w:val="center"/>
      </w:pPr>
      <w:r>
        <w:rPr>
          <w:i/>
          <w:noProof/>
          <w:lang w:eastAsia="es-CO"/>
        </w:rPr>
        <w:drawing>
          <wp:inline distT="0" distB="0" distL="0" distR="0" wp14:anchorId="508679E1" wp14:editId="51FE7D5C">
            <wp:extent cx="2790702" cy="149161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793364" cy="1493038"/>
                    </a:xfrm>
                    <a:prstGeom prst="rect">
                      <a:avLst/>
                    </a:prstGeom>
                    <a:noFill/>
                    <a:ln>
                      <a:noFill/>
                    </a:ln>
                  </pic:spPr>
                </pic:pic>
              </a:graphicData>
            </a:graphic>
          </wp:inline>
        </w:drawing>
      </w:r>
    </w:p>
    <w:p w:rsidR="001C481F" w:rsidRPr="001C481F" w:rsidRDefault="001C481F" w:rsidP="001C481F">
      <w:pPr>
        <w:rPr>
          <w:rFonts w:cs="Times New Roman"/>
          <w:b/>
          <w:bCs/>
          <w:sz w:val="16"/>
          <w:szCs w:val="18"/>
        </w:rPr>
      </w:pPr>
      <w:r w:rsidRPr="001C481F">
        <w:rPr>
          <w:rFonts w:cs="Times New Roman"/>
          <w:b/>
          <w:bCs/>
          <w:sz w:val="16"/>
          <w:szCs w:val="18"/>
        </w:rPr>
        <w:t xml:space="preserve">Fig. 7. Comparación entre la curva de ruptura experimental de la prueba 14 y la modelación de </w:t>
      </w:r>
      <w:proofErr w:type="spellStart"/>
      <w:r w:rsidRPr="001C481F">
        <w:rPr>
          <w:rFonts w:cs="Times New Roman"/>
          <w:b/>
          <w:bCs/>
          <w:sz w:val="16"/>
          <w:szCs w:val="18"/>
        </w:rPr>
        <w:t>Yoon</w:t>
      </w:r>
      <w:proofErr w:type="spellEnd"/>
      <w:r w:rsidRPr="001C481F">
        <w:rPr>
          <w:rFonts w:cs="Times New Roman"/>
          <w:b/>
          <w:bCs/>
          <w:sz w:val="16"/>
          <w:szCs w:val="18"/>
        </w:rPr>
        <w:t>- Nelson.</w:t>
      </w:r>
    </w:p>
    <w:p w:rsidR="00B869C2" w:rsidRDefault="007141E7" w:rsidP="00B869C2">
      <w:pPr>
        <w:pStyle w:val="Prrafodelista"/>
        <w:numPr>
          <w:ilvl w:val="0"/>
          <w:numId w:val="16"/>
        </w:numPr>
        <w:tabs>
          <w:tab w:val="left" w:pos="6610"/>
        </w:tabs>
        <w:rPr>
          <w:rFonts w:cs="Times New Roman"/>
          <w:szCs w:val="20"/>
        </w:rPr>
      </w:pPr>
      <w:r w:rsidRPr="007141E7">
        <w:rPr>
          <w:rFonts w:cs="Times New Roman"/>
          <w:szCs w:val="20"/>
        </w:rPr>
        <w:t>Modelo de Dosis y Respuesta</w:t>
      </w:r>
    </w:p>
    <w:p w:rsidR="007141E7" w:rsidRDefault="007141E7" w:rsidP="00B869C2">
      <w:pPr>
        <w:tabs>
          <w:tab w:val="left" w:pos="6610"/>
        </w:tabs>
      </w:pPr>
      <w:r w:rsidRPr="00BF209B">
        <w:t xml:space="preserve">Para este modelo obtenidos solo unos </w:t>
      </w:r>
      <w:r>
        <w:t>de los pocos resultados obtenidos</w:t>
      </w:r>
      <w:r w:rsidRPr="00BF209B">
        <w:t xml:space="preserve"> logran superar un R</w:t>
      </w:r>
      <w:r w:rsidRPr="00B869C2">
        <w:rPr>
          <w:vertAlign w:val="superscript"/>
        </w:rPr>
        <w:t>2</w:t>
      </w:r>
      <w:r w:rsidRPr="00BF209B">
        <w:t>&gt;0.9 el cual es el criterio de aceptabilidad para los ajustes obtenidos para cada prueba o curva de ruptura, solo para las pruebas 2, 3, 4 ,10 ,14 se obtuvieron resultados aceptables como se muestra en la Fi</w:t>
      </w:r>
      <w:r w:rsidR="001C481F">
        <w:t>gura 8</w:t>
      </w:r>
      <w:r w:rsidRPr="00BF209B">
        <w:t>, lo cual confirma un acercamiento más cerrado del modelo a de dichas curvas de ruptura. Este modelo en general muestra el mejor ajuste entre los modelos usados, pero para algunos casos, cuando se tienen condiciones de operación específicas, el modelo permite reproducir el comportamiento de la columna, debido a que las constantes obtenidas en muchos casos no guardan concordancia física, por ejemplo, tiempos negativos, haciendo que el escalamiento mediante este modelo no sea una opción atractiva.</w:t>
      </w:r>
    </w:p>
    <w:p w:rsidR="00BD4ACE" w:rsidRDefault="001C481F" w:rsidP="00BD4ACE">
      <w:pPr>
        <w:tabs>
          <w:tab w:val="left" w:pos="6610"/>
        </w:tabs>
        <w:rPr>
          <w:rFonts w:cs="Times New Roman"/>
          <w:b/>
          <w:bCs/>
          <w:sz w:val="16"/>
          <w:szCs w:val="18"/>
        </w:rPr>
      </w:pPr>
      <w:r>
        <w:rPr>
          <w:noProof/>
          <w:lang w:eastAsia="es-CO"/>
        </w:rPr>
        <w:lastRenderedPageBreak/>
        <w:drawing>
          <wp:inline distT="0" distB="0" distL="0" distR="0" wp14:anchorId="54D9F51E" wp14:editId="489D5D69">
            <wp:extent cx="2790190" cy="1762760"/>
            <wp:effectExtent l="0" t="0" r="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25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791954" cy="1763874"/>
                    </a:xfrm>
                    <a:prstGeom prst="rect">
                      <a:avLst/>
                    </a:prstGeom>
                    <a:noFill/>
                    <a:ln>
                      <a:noFill/>
                    </a:ln>
                  </pic:spPr>
                </pic:pic>
              </a:graphicData>
            </a:graphic>
          </wp:inline>
        </w:drawing>
      </w:r>
      <w:r w:rsidR="00BD4ACE">
        <w:rPr>
          <w:rFonts w:cs="Times New Roman"/>
          <w:b/>
          <w:bCs/>
          <w:sz w:val="16"/>
          <w:szCs w:val="18"/>
        </w:rPr>
        <w:t xml:space="preserve"> </w:t>
      </w:r>
    </w:p>
    <w:p w:rsidR="00B869C2" w:rsidRPr="00BD4ACE" w:rsidRDefault="00BD4ACE" w:rsidP="00BD4ACE">
      <w:pPr>
        <w:tabs>
          <w:tab w:val="left" w:pos="6610"/>
        </w:tabs>
        <w:rPr>
          <w:rFonts w:cs="Times New Roman"/>
          <w:b/>
          <w:bCs/>
          <w:sz w:val="16"/>
          <w:szCs w:val="18"/>
        </w:rPr>
      </w:pPr>
      <w:r w:rsidRPr="00BD4ACE">
        <w:rPr>
          <w:rFonts w:cs="Times New Roman"/>
          <w:b/>
          <w:bCs/>
          <w:sz w:val="16"/>
          <w:szCs w:val="18"/>
        </w:rPr>
        <w:t>Fig. 8.  Comparación entre la curva de ruptura experimental de la prueba 3, L=0.6 cm, Q=7 ml/min, C0=70 ppm, pH =3 con el predicho por el modelo de dosis respuesta para las mismas condiciones.</w:t>
      </w:r>
    </w:p>
    <w:p w:rsidR="001C481F" w:rsidRPr="00140AD0" w:rsidRDefault="001C481F" w:rsidP="00B869C2">
      <w:pPr>
        <w:pStyle w:val="Prrafodelista"/>
        <w:tabs>
          <w:tab w:val="left" w:pos="6610"/>
        </w:tabs>
        <w:ind w:left="1080" w:firstLine="0"/>
        <w:jc w:val="left"/>
        <w:rPr>
          <w:rFonts w:cs="Times New Roman"/>
          <w:b/>
          <w:szCs w:val="20"/>
        </w:rPr>
      </w:pPr>
    </w:p>
    <w:p w:rsidR="00BB7FED" w:rsidRDefault="00B869C2" w:rsidP="00BB7FED">
      <w:pPr>
        <w:pStyle w:val="Prrafodelista"/>
        <w:numPr>
          <w:ilvl w:val="0"/>
          <w:numId w:val="3"/>
        </w:numPr>
        <w:tabs>
          <w:tab w:val="left" w:pos="6610"/>
        </w:tabs>
        <w:jc w:val="center"/>
        <w:rPr>
          <w:rFonts w:cs="Times New Roman"/>
          <w:b/>
          <w:szCs w:val="20"/>
        </w:rPr>
      </w:pPr>
      <w:r>
        <w:rPr>
          <w:rFonts w:cs="Times New Roman"/>
          <w:b/>
          <w:szCs w:val="20"/>
        </w:rPr>
        <w:t>CONCLUSIONES</w:t>
      </w:r>
    </w:p>
    <w:p w:rsidR="00BB7FED" w:rsidRDefault="00BB7FED" w:rsidP="00BB7FED">
      <w:pPr>
        <w:tabs>
          <w:tab w:val="left" w:pos="6610"/>
        </w:tabs>
        <w:rPr>
          <w:rFonts w:cs="Times New Roman"/>
          <w:b/>
          <w:szCs w:val="20"/>
        </w:rPr>
      </w:pPr>
      <w:r w:rsidRPr="00BB7FED">
        <w:rPr>
          <w:lang w:val="es-ES"/>
        </w:rPr>
        <w:t xml:space="preserve"> Se preparó un montaje que permitió alcanzar un proceso semicontinuo para la adsorción de cromo hexavalente sobre cáscara de yuca. Se obtuvieron resultados esperados: un aumento en el caudal satura el lecho más rápido debido a que hay una transferencia más rápida de cromo hacia los sitios activos de adsorción que aprovechan el fenómeno de solvatación, hecho que es deducido del análisis infrarrojo que reveló la presencia de grupos hidroxilos, de lo cual se puede afirmar que la adsorción es de naturaleza química y que está de acuerdo con un estudio por lotes similar a este </w:t>
      </w:r>
      <w:r w:rsidRPr="00BB7FED">
        <w:rPr>
          <w:lang w:val="es-ES"/>
        </w:rPr>
        <w:fldChar w:fldCharType="begin"/>
      </w:r>
      <w:r w:rsidRPr="00BB7FED">
        <w:rPr>
          <w:lang w:val="es-ES"/>
        </w:rPr>
        <w:instrText xml:space="preserve"> ADDIN EN.CITE &lt;EndNote&gt;&lt;Cite&gt;&lt;Author&gt;Pajaro&lt;/Author&gt;&lt;Year&gt;2012&lt;/Year&gt;&lt;RecNum&gt;19&lt;/RecNum&gt;&lt;DisplayText&gt;[19]&lt;/DisplayText&gt;&lt;record&gt;&lt;rec-number&gt;19&lt;/rec-number&gt;&lt;foreign-keys&gt;&lt;key app="EN" db-id="af55vdv5m25e9ve2er6xeed5fe2stf0fdwzw"&gt;19&lt;/key&gt;&lt;/foreign-keys&gt;&lt;ref-type name="Thesis"&gt;32&lt;/ref-type&gt;&lt;contributors&gt;&lt;authors&gt;&lt;author&gt;Michel Pajaro&lt;/author&gt;&lt;author&gt;Oscar Romero&lt;/author&gt;&lt;/authors&gt;&lt;/contributors&gt;&lt;titles&gt;&lt;title&gt;Remoción de cromo (VI) en un medio acuoso mediante el uso de la cáscara de yuca&lt;/title&gt;&lt;secondary-title&gt;Ingeniería Química&lt;/secondary-title&gt;&lt;/titles&gt;&lt;volume&gt;Pregrado&lt;/volume&gt;&lt;dates&gt;&lt;year&gt;2012&lt;/year&gt;&lt;/dates&gt;&lt;pub-location&gt;Barranquilla&lt;/pub-location&gt;&lt;publisher&gt;Universidad del Atlántico&lt;/publisher&gt;&lt;urls&gt;&lt;/urls&gt;&lt;/record&gt;&lt;/Cite&gt;&lt;/EndNote&gt;</w:instrText>
      </w:r>
      <w:r w:rsidRPr="00BB7FED">
        <w:rPr>
          <w:lang w:val="es-ES"/>
        </w:rPr>
        <w:fldChar w:fldCharType="separate"/>
      </w:r>
      <w:r w:rsidRPr="00BB7FED">
        <w:rPr>
          <w:noProof/>
          <w:lang w:val="es-ES"/>
        </w:rPr>
        <w:t>[</w:t>
      </w:r>
      <w:hyperlink w:anchor="_ENREF_19" w:tooltip="Pajaro, 2012 #19" w:history="1">
        <w:r w:rsidR="005E319C" w:rsidRPr="00BB7FED">
          <w:rPr>
            <w:noProof/>
            <w:lang w:val="es-ES"/>
          </w:rPr>
          <w:t>19</w:t>
        </w:r>
      </w:hyperlink>
      <w:r w:rsidRPr="00BB7FED">
        <w:rPr>
          <w:noProof/>
          <w:lang w:val="es-ES"/>
        </w:rPr>
        <w:t>]</w:t>
      </w:r>
      <w:r w:rsidRPr="00BB7FED">
        <w:rPr>
          <w:lang w:val="es-ES"/>
        </w:rPr>
        <w:fldChar w:fldCharType="end"/>
      </w:r>
      <w:r w:rsidRPr="00BB7FED">
        <w:rPr>
          <w:lang w:val="es-ES"/>
        </w:rPr>
        <w:t>, predominando un fenómeno de saturación axial unidireccional; una altura de lecho mayor se traduce en un aumento del volumen de este y por tanto también de sitios de transferencia que son aprovechados para atraer al ion metálico, y hacen que el tiempo de servicio de la columna sea mayor, es decir, el tiempo de saturación aumenta; por último, un aumento en la concentración del metal en el caudal de alimentación satura a mayor velocidad el lecho debido a que la fuerza impulsora de la transferencia de masa es precisamente la diferencia de concentraciones del ion entre la disolución y el biosorbente; en efecto, la concentración inicial del alimento es el factor que tiene mayor efecto sobre la capacidad de remoción y el tiempo de ruptura, hecho que fue confirmado estadísticamente en el análisis de varianza.</w:t>
      </w:r>
    </w:p>
    <w:p w:rsidR="00BB7FED" w:rsidRDefault="00BB7FED" w:rsidP="00BB7FED">
      <w:pPr>
        <w:tabs>
          <w:tab w:val="left" w:pos="6610"/>
        </w:tabs>
        <w:rPr>
          <w:rFonts w:cs="Times New Roman"/>
          <w:b/>
          <w:szCs w:val="20"/>
        </w:rPr>
      </w:pPr>
      <w:r>
        <w:rPr>
          <w:lang w:val="es-ES"/>
        </w:rPr>
        <w:t xml:space="preserve">Respecto a la caracterización de la cáscara de yuca esta se identificó como un </w:t>
      </w:r>
      <w:proofErr w:type="spellStart"/>
      <w:r>
        <w:rPr>
          <w:lang w:val="es-ES"/>
        </w:rPr>
        <w:t>biosorbente</w:t>
      </w:r>
      <w:proofErr w:type="spellEnd"/>
      <w:r>
        <w:rPr>
          <w:lang w:val="es-ES"/>
        </w:rPr>
        <w:t xml:space="preserve"> ácido, con pH de 4.5, Un diámetro de partícula en el rango de 250-500 </w:t>
      </w:r>
      <w:proofErr w:type="spellStart"/>
      <w:r w:rsidRPr="000B06B0">
        <w:t>μm</w:t>
      </w:r>
      <w:proofErr w:type="spellEnd"/>
      <w:r>
        <w:t>,</w:t>
      </w:r>
      <w:r>
        <w:rPr>
          <w:lang w:val="es-ES"/>
        </w:rPr>
        <w:t xml:space="preserve"> una densidad de 0.41 g/ml, una porosidad de 59.2 % y una humedad promedio de 10.76%, características inherentes de este tipo de biomasa.</w:t>
      </w:r>
    </w:p>
    <w:p w:rsidR="00BB7FED" w:rsidRDefault="00BB7FED" w:rsidP="00BB7FED">
      <w:pPr>
        <w:tabs>
          <w:tab w:val="left" w:pos="6610"/>
        </w:tabs>
        <w:rPr>
          <w:lang w:val="es-ES"/>
        </w:rPr>
      </w:pPr>
      <w:r>
        <w:rPr>
          <w:lang w:val="es-ES"/>
        </w:rPr>
        <w:t>Se apreció que el diseño experimental fue adecuado para ajustar el comportamiento del tiempo de ruptura al modelo estadístico de superficie de respuesta, que permite estimar tiempos de ruptura en los rangos considerados.</w:t>
      </w:r>
    </w:p>
    <w:p w:rsidR="00BD4ACE" w:rsidRDefault="00BD4ACE" w:rsidP="00BB7FED">
      <w:pPr>
        <w:tabs>
          <w:tab w:val="left" w:pos="6610"/>
        </w:tabs>
        <w:rPr>
          <w:lang w:val="es-ES"/>
        </w:rPr>
      </w:pPr>
    </w:p>
    <w:p w:rsidR="005E319C" w:rsidRPr="005E319C" w:rsidRDefault="00BB7FED" w:rsidP="005E319C">
      <w:pPr>
        <w:tabs>
          <w:tab w:val="left" w:pos="6610"/>
        </w:tabs>
        <w:jc w:val="center"/>
        <w:rPr>
          <w:rFonts w:cs="Times New Roman"/>
          <w:b/>
          <w:szCs w:val="20"/>
          <w:lang w:val="en-US"/>
        </w:rPr>
      </w:pPr>
      <w:r w:rsidRPr="005E319C">
        <w:rPr>
          <w:rFonts w:cs="Times New Roman"/>
          <w:b/>
          <w:szCs w:val="20"/>
          <w:lang w:val="en-US"/>
        </w:rPr>
        <w:lastRenderedPageBreak/>
        <w:t>REFERENCIAS</w:t>
      </w:r>
    </w:p>
    <w:p w:rsidR="005E319C" w:rsidRPr="005E319C" w:rsidRDefault="00C153AA" w:rsidP="005E319C">
      <w:pPr>
        <w:pStyle w:val="EndNoteBibliography"/>
        <w:spacing w:after="0"/>
        <w:ind w:left="720" w:hanging="720"/>
      </w:pPr>
      <w:r>
        <w:rPr>
          <w:szCs w:val="20"/>
        </w:rPr>
        <w:fldChar w:fldCharType="begin"/>
      </w:r>
      <w:r>
        <w:rPr>
          <w:szCs w:val="20"/>
        </w:rPr>
        <w:instrText xml:space="preserve"> ADDIN EN.REFLIST </w:instrText>
      </w:r>
      <w:r>
        <w:rPr>
          <w:szCs w:val="20"/>
        </w:rPr>
        <w:fldChar w:fldCharType="separate"/>
      </w:r>
      <w:bookmarkStart w:id="1" w:name="_ENREF_1"/>
      <w:r w:rsidR="005E319C" w:rsidRPr="005E319C">
        <w:t>[1]</w:t>
      </w:r>
      <w:r w:rsidR="005E319C" w:rsidRPr="005E319C">
        <w:tab/>
        <w:t xml:space="preserve">B. Volesky, "Biosorption and biosorbents," in </w:t>
      </w:r>
      <w:r w:rsidR="005E319C" w:rsidRPr="005E319C">
        <w:rPr>
          <w:i/>
        </w:rPr>
        <w:t>Biosorption of heavy metals</w:t>
      </w:r>
      <w:r w:rsidR="005E319C" w:rsidRPr="005E319C">
        <w:t>. vol. I, ed Florida, Boca raton: CRC Press, 1990, p. 4.</w:t>
      </w:r>
      <w:bookmarkEnd w:id="1"/>
    </w:p>
    <w:p w:rsidR="005E319C" w:rsidRPr="005E319C" w:rsidRDefault="005E319C" w:rsidP="005E319C">
      <w:pPr>
        <w:pStyle w:val="EndNoteBibliography"/>
        <w:spacing w:after="0"/>
        <w:ind w:left="720" w:hanging="720"/>
      </w:pPr>
      <w:bookmarkStart w:id="2" w:name="_ENREF_2"/>
      <w:r w:rsidRPr="005E319C">
        <w:t>[2]</w:t>
      </w:r>
      <w:r w:rsidRPr="005E319C">
        <w:tab/>
        <w:t xml:space="preserve">M. K. A. Mojdeh Owlad, Wan Ashri Wan Daud, Saeid Baroutian, "Removal of Hexavalent Chromium-Contaminated Water and Wastewater: A Review," </w:t>
      </w:r>
      <w:r w:rsidRPr="005E319C">
        <w:rPr>
          <w:i/>
        </w:rPr>
        <w:t xml:space="preserve">Water Air and Soil Pollution, </w:t>
      </w:r>
      <w:r w:rsidRPr="005E319C">
        <w:t>vol. 200(1), pp. 59-77, 2008.</w:t>
      </w:r>
      <w:bookmarkEnd w:id="2"/>
    </w:p>
    <w:p w:rsidR="005E319C" w:rsidRPr="005E319C" w:rsidRDefault="005E319C" w:rsidP="005E319C">
      <w:pPr>
        <w:pStyle w:val="EndNoteBibliography"/>
        <w:spacing w:after="0"/>
        <w:ind w:left="720" w:hanging="720"/>
      </w:pPr>
      <w:bookmarkStart w:id="3" w:name="_ENREF_3"/>
      <w:r w:rsidRPr="005E319C">
        <w:t>[3]</w:t>
      </w:r>
      <w:r w:rsidRPr="005E319C">
        <w:tab/>
        <w:t>D. Schwantes, A. C. Gonçalves, G. F. Coelho, M. A. Campagnolo, D. C. Dragunski, C. R. T. Tarley</w:t>
      </w:r>
      <w:r w:rsidRPr="005E319C">
        <w:rPr>
          <w:i/>
        </w:rPr>
        <w:t>, et al.</w:t>
      </w:r>
      <w:r w:rsidRPr="005E319C">
        <w:t xml:space="preserve">, "Chemical Modifications of Cassava Peel as Adsorbent Material for Metals Ions from Wastewater," </w:t>
      </w:r>
      <w:r w:rsidRPr="005E319C">
        <w:rPr>
          <w:i/>
        </w:rPr>
        <w:t xml:space="preserve">Journal of Chemistry, </w:t>
      </w:r>
      <w:r w:rsidRPr="005E319C">
        <w:t>vol. 2016, pp. 1-15, 2016.</w:t>
      </w:r>
      <w:bookmarkEnd w:id="3"/>
    </w:p>
    <w:p w:rsidR="005E319C" w:rsidRPr="005E319C" w:rsidRDefault="005E319C" w:rsidP="005E319C">
      <w:pPr>
        <w:pStyle w:val="EndNoteBibliography"/>
        <w:spacing w:after="0"/>
        <w:ind w:left="720" w:hanging="720"/>
        <w:rPr>
          <w:lang w:val="es-CO"/>
        </w:rPr>
      </w:pPr>
      <w:bookmarkStart w:id="4" w:name="_ENREF_4"/>
      <w:r w:rsidRPr="005E319C">
        <w:rPr>
          <w:lang w:val="es-CO"/>
        </w:rPr>
        <w:t>[4]</w:t>
      </w:r>
      <w:r w:rsidRPr="005E319C">
        <w:rPr>
          <w:lang w:val="es-CO"/>
        </w:rPr>
        <w:tab/>
        <w:t xml:space="preserve">M. Calero and G. Blázquez, "Biosorción de cobre con corteza de pino en columna de lecho de fijo: optimización de las variables del proceso," </w:t>
      </w:r>
      <w:r w:rsidRPr="005E319C">
        <w:rPr>
          <w:i/>
          <w:lang w:val="es-CO"/>
        </w:rPr>
        <w:t xml:space="preserve">Afinidad LXIX, </w:t>
      </w:r>
      <w:r w:rsidRPr="005E319C">
        <w:rPr>
          <w:lang w:val="es-CO"/>
        </w:rPr>
        <w:t>vol. 559, pp. 175-184.</w:t>
      </w:r>
      <w:bookmarkEnd w:id="4"/>
    </w:p>
    <w:p w:rsidR="005E319C" w:rsidRPr="005E319C" w:rsidRDefault="005E319C" w:rsidP="005E319C">
      <w:pPr>
        <w:pStyle w:val="EndNoteBibliography"/>
        <w:spacing w:after="0"/>
        <w:ind w:left="720" w:hanging="720"/>
      </w:pPr>
      <w:bookmarkStart w:id="5" w:name="_ENREF_5"/>
      <w:r w:rsidRPr="005E319C">
        <w:t>[5]</w:t>
      </w:r>
      <w:r w:rsidRPr="005E319C">
        <w:tab/>
        <w:t xml:space="preserve">O. Freitas, C. Delerue-Matos, and R. Boaventura, "Optimization of Cu(II) biosorption onto Ascophyllum nodosum by factorial design methodology," </w:t>
      </w:r>
      <w:r w:rsidRPr="005E319C">
        <w:rPr>
          <w:i/>
        </w:rPr>
        <w:t xml:space="preserve">Journal of Hazardous Materials, </w:t>
      </w:r>
      <w:r w:rsidRPr="005E319C">
        <w:t>vol. 167, pp. 449-454, 2009.</w:t>
      </w:r>
      <w:bookmarkEnd w:id="5"/>
    </w:p>
    <w:p w:rsidR="005E319C" w:rsidRPr="005E319C" w:rsidRDefault="005E319C" w:rsidP="005E319C">
      <w:pPr>
        <w:pStyle w:val="EndNoteBibliography"/>
        <w:spacing w:after="0"/>
        <w:ind w:left="720" w:hanging="720"/>
      </w:pPr>
      <w:bookmarkStart w:id="6" w:name="_ENREF_6"/>
      <w:r w:rsidRPr="005E319C">
        <w:t>[6]</w:t>
      </w:r>
      <w:r w:rsidRPr="005E319C">
        <w:tab/>
        <w:t xml:space="preserve">S. Hasan, P. Srivastava, and M. Talat, "Biosorption of lead using immobilized Aeromonas hydrophila biomass in up flow column system: Factorial design for process optimization," </w:t>
      </w:r>
      <w:r w:rsidRPr="005E319C">
        <w:rPr>
          <w:i/>
        </w:rPr>
        <w:t xml:space="preserve">Journal of Hazardous Materials, </w:t>
      </w:r>
      <w:r w:rsidRPr="005E319C">
        <w:t>vol. 177 (1-3), pp. 312–322, 2010.</w:t>
      </w:r>
      <w:bookmarkEnd w:id="6"/>
    </w:p>
    <w:p w:rsidR="005E319C" w:rsidRPr="005E319C" w:rsidRDefault="005E319C" w:rsidP="005E319C">
      <w:pPr>
        <w:pStyle w:val="EndNoteBibliography"/>
        <w:spacing w:after="0"/>
        <w:ind w:left="720" w:hanging="720"/>
      </w:pPr>
      <w:bookmarkStart w:id="7" w:name="_ENREF_7"/>
      <w:r w:rsidRPr="005E319C">
        <w:t>[7]</w:t>
      </w:r>
      <w:r w:rsidRPr="005E319C">
        <w:tab/>
        <w:t xml:space="preserve">X. Jing, Y. Cao, X. Zhang, D. Wang, X. Wu, and H. Xu, "Biosorption of Cr (VI) from simulated wastewater using a cationic surfactant modified spent mushroom," </w:t>
      </w:r>
      <w:r w:rsidRPr="005E319C">
        <w:rPr>
          <w:i/>
        </w:rPr>
        <w:t xml:space="preserve">Desalination, </w:t>
      </w:r>
      <w:r w:rsidRPr="005E319C">
        <w:t>vol. 269 (1-3), pp. 120-127, 2011.</w:t>
      </w:r>
      <w:bookmarkEnd w:id="7"/>
    </w:p>
    <w:p w:rsidR="005E319C" w:rsidRPr="005E319C" w:rsidRDefault="005E319C" w:rsidP="005E319C">
      <w:pPr>
        <w:pStyle w:val="EndNoteBibliography"/>
        <w:spacing w:after="0"/>
        <w:ind w:left="720" w:hanging="720"/>
      </w:pPr>
      <w:bookmarkStart w:id="8" w:name="_ENREF_8"/>
      <w:r w:rsidRPr="005E319C">
        <w:t>[8]</w:t>
      </w:r>
      <w:r w:rsidRPr="005E319C">
        <w:tab/>
        <w:t xml:space="preserve">D. Park, Y. Yun, D. Lee, and J.Park, "Optimum condition for the removal of Cr (VI) or total Cr using dried leaves of Pinus densiflora," </w:t>
      </w:r>
      <w:r w:rsidRPr="005E319C">
        <w:rPr>
          <w:i/>
        </w:rPr>
        <w:t xml:space="preserve">Desalination, </w:t>
      </w:r>
      <w:r w:rsidRPr="005E319C">
        <w:t>vol. 271 (1-3), pp. 309-314, 2011.</w:t>
      </w:r>
      <w:bookmarkEnd w:id="8"/>
    </w:p>
    <w:p w:rsidR="005E319C" w:rsidRPr="005E319C" w:rsidRDefault="005E319C" w:rsidP="005E319C">
      <w:pPr>
        <w:pStyle w:val="EndNoteBibliography"/>
        <w:spacing w:after="0"/>
        <w:ind w:left="720" w:hanging="720"/>
      </w:pPr>
      <w:bookmarkStart w:id="9" w:name="_ENREF_9"/>
      <w:r w:rsidRPr="005E319C">
        <w:t>[9]</w:t>
      </w:r>
      <w:r w:rsidRPr="005E319C">
        <w:tab/>
        <w:t xml:space="preserve">D. Ranjan and S. Hasan, "Parametric Optimization of Selenite and Selenate Biosorption Using Wheat Bran in Batch and Continuous Mode," </w:t>
      </w:r>
      <w:r w:rsidRPr="005E319C">
        <w:rPr>
          <w:i/>
        </w:rPr>
        <w:t xml:space="preserve">J. Chem. Eng. Data, </w:t>
      </w:r>
      <w:r w:rsidRPr="005E319C">
        <w:t>vol. 55(11), pp. 4808-4816, 2010.</w:t>
      </w:r>
      <w:bookmarkEnd w:id="9"/>
    </w:p>
    <w:p w:rsidR="005E319C" w:rsidRPr="005E319C" w:rsidRDefault="005E319C" w:rsidP="005E319C">
      <w:pPr>
        <w:pStyle w:val="EndNoteBibliography"/>
        <w:spacing w:after="0"/>
        <w:ind w:left="720" w:hanging="720"/>
      </w:pPr>
      <w:bookmarkStart w:id="10" w:name="_ENREF_10"/>
      <w:r w:rsidRPr="005E319C">
        <w:t>[10]</w:t>
      </w:r>
      <w:r w:rsidRPr="005E319C">
        <w:tab/>
        <w:t xml:space="preserve">Y. Safa and H. Bhatti, "Adsorptive removal of direct textile dyes by low cost agricultural waste: application of factorial design analysis," </w:t>
      </w:r>
      <w:r w:rsidRPr="005E319C">
        <w:rPr>
          <w:i/>
        </w:rPr>
        <w:t xml:space="preserve">Chemical Engineering Journal, </w:t>
      </w:r>
      <w:r w:rsidRPr="005E319C">
        <w:t>vol. 167, pp. 35-41, 2011.</w:t>
      </w:r>
      <w:bookmarkEnd w:id="10"/>
    </w:p>
    <w:p w:rsidR="005E319C" w:rsidRPr="005E319C" w:rsidRDefault="005E319C" w:rsidP="005E319C">
      <w:pPr>
        <w:pStyle w:val="EndNoteBibliography"/>
        <w:spacing w:after="0"/>
        <w:ind w:left="720" w:hanging="720"/>
        <w:rPr>
          <w:lang w:val="es-CO"/>
        </w:rPr>
      </w:pPr>
      <w:bookmarkStart w:id="11" w:name="_ENREF_11"/>
      <w:r w:rsidRPr="005E319C">
        <w:rPr>
          <w:lang w:val="es-CO"/>
        </w:rPr>
        <w:t>[11]</w:t>
      </w:r>
      <w:r w:rsidRPr="005E319C">
        <w:rPr>
          <w:lang w:val="es-CO"/>
        </w:rPr>
        <w:tab/>
      </w:r>
      <w:r w:rsidRPr="005E319C">
        <w:rPr>
          <w:i/>
          <w:lang w:val="es-CO"/>
        </w:rPr>
        <w:t xml:space="preserve">Métodos de Ensayo: Determinación del pH de la muestra, </w:t>
      </w:r>
      <w:r w:rsidRPr="005E319C">
        <w:rPr>
          <w:lang w:val="es-CO"/>
        </w:rPr>
        <w:t>ICONTEC, 1998.</w:t>
      </w:r>
      <w:bookmarkEnd w:id="11"/>
    </w:p>
    <w:p w:rsidR="005E319C" w:rsidRPr="005E319C" w:rsidRDefault="005E319C" w:rsidP="005E319C">
      <w:pPr>
        <w:pStyle w:val="EndNoteBibliography"/>
        <w:spacing w:after="0"/>
        <w:ind w:left="720" w:hanging="720"/>
      </w:pPr>
      <w:bookmarkStart w:id="12" w:name="_ENREF_12"/>
      <w:r w:rsidRPr="005E319C">
        <w:t>[12]</w:t>
      </w:r>
      <w:r w:rsidRPr="005E319C">
        <w:tab/>
        <w:t xml:space="preserve">K. Vijayaraghavan and Y. Yun, "Chemical modification of Corynebacterium glutamicum to improve methylene blue biosorption," </w:t>
      </w:r>
      <w:r w:rsidRPr="005E319C">
        <w:rPr>
          <w:i/>
        </w:rPr>
        <w:t xml:space="preserve">Chemical Engineering Journal, </w:t>
      </w:r>
      <w:r w:rsidRPr="005E319C">
        <w:t>vol. 145, pp. 1-6, 2008.</w:t>
      </w:r>
      <w:bookmarkEnd w:id="12"/>
    </w:p>
    <w:p w:rsidR="005E319C" w:rsidRPr="005E319C" w:rsidRDefault="005E319C" w:rsidP="005E319C">
      <w:pPr>
        <w:pStyle w:val="EndNoteBibliography"/>
        <w:spacing w:after="0"/>
        <w:ind w:left="720" w:hanging="720"/>
      </w:pPr>
      <w:bookmarkStart w:id="13" w:name="_ENREF_13"/>
      <w:r w:rsidRPr="005E319C">
        <w:rPr>
          <w:lang w:val="es-CO"/>
        </w:rPr>
        <w:t>[13]</w:t>
      </w:r>
      <w:r w:rsidRPr="005E319C">
        <w:rPr>
          <w:lang w:val="es-CO"/>
        </w:rPr>
        <w:tab/>
        <w:t xml:space="preserve">L. Lopez, A. Acosta, and R. Gelves, "Evaluación de pretratamientos químicos para la hidrólisis enzimática de residuos lignocelulósicos de yuca (Manihot esculenta </w:t>
      </w:r>
      <w:r w:rsidRPr="005E319C">
        <w:rPr>
          <w:lang w:val="es-CO"/>
        </w:rPr>
        <w:lastRenderedPageBreak/>
        <w:t xml:space="preserve">Crantz)," </w:t>
      </w:r>
      <w:r w:rsidRPr="005E319C">
        <w:rPr>
          <w:i/>
          <w:lang w:val="es-CO"/>
        </w:rPr>
        <w:t xml:space="preserve">Rev. Fac. Ing. </w:t>
      </w:r>
      <w:r w:rsidRPr="005E319C">
        <w:rPr>
          <w:i/>
        </w:rPr>
        <w:t xml:space="preserve">Univ. Antioquia, </w:t>
      </w:r>
      <w:r w:rsidRPr="005E319C">
        <w:t>vol. 69, p. 4, 2013.</w:t>
      </w:r>
      <w:bookmarkEnd w:id="13"/>
    </w:p>
    <w:p w:rsidR="005E319C" w:rsidRPr="005E319C" w:rsidRDefault="005E319C" w:rsidP="005E319C">
      <w:pPr>
        <w:pStyle w:val="EndNoteBibliography"/>
        <w:spacing w:after="0"/>
        <w:ind w:left="720" w:hanging="720"/>
      </w:pPr>
      <w:bookmarkStart w:id="14" w:name="_ENREF_14"/>
      <w:r w:rsidRPr="005E319C">
        <w:t>[14]</w:t>
      </w:r>
      <w:r w:rsidRPr="005E319C">
        <w:tab/>
        <w:t xml:space="preserve">P. Wilaipon, "Density Equation of Cassava-Stalk Briquettes Under Moderate Die-Pressure," </w:t>
      </w:r>
      <w:r w:rsidRPr="005E319C">
        <w:rPr>
          <w:i/>
        </w:rPr>
        <w:t xml:space="preserve">American Journal of Applied Sciences, </w:t>
      </w:r>
      <w:r w:rsidRPr="005E319C">
        <w:t>vol. 7(5), pp. 698-701, 2010.</w:t>
      </w:r>
      <w:bookmarkEnd w:id="14"/>
    </w:p>
    <w:p w:rsidR="005E319C" w:rsidRPr="005E319C" w:rsidRDefault="005E319C" w:rsidP="005E319C">
      <w:pPr>
        <w:pStyle w:val="EndNoteBibliography"/>
        <w:spacing w:after="0"/>
        <w:ind w:left="720" w:hanging="720"/>
        <w:rPr>
          <w:lang w:val="es-CO"/>
        </w:rPr>
      </w:pPr>
      <w:bookmarkStart w:id="15" w:name="_ENREF_15"/>
      <w:r w:rsidRPr="005E319C">
        <w:rPr>
          <w:lang w:val="es-CO"/>
        </w:rPr>
        <w:t>[15]</w:t>
      </w:r>
      <w:r w:rsidRPr="005E319C">
        <w:rPr>
          <w:lang w:val="es-CO"/>
        </w:rPr>
        <w:tab/>
        <w:t>E. Gallardo, S. Maioco, and N.Francois, "Remoción de un colorante básico por adsorción con Quitosano y con un material compuesto de Quitosano-Zeolita," 2008.</w:t>
      </w:r>
      <w:bookmarkEnd w:id="15"/>
    </w:p>
    <w:p w:rsidR="005E319C" w:rsidRPr="005E319C" w:rsidRDefault="005E319C" w:rsidP="005E319C">
      <w:pPr>
        <w:pStyle w:val="EndNoteBibliography"/>
        <w:spacing w:after="0"/>
        <w:ind w:left="720" w:hanging="720"/>
        <w:rPr>
          <w:lang w:val="es-CO"/>
        </w:rPr>
      </w:pPr>
      <w:bookmarkStart w:id="16" w:name="_ENREF_16"/>
      <w:r w:rsidRPr="005E319C">
        <w:rPr>
          <w:lang w:val="es-CO"/>
        </w:rPr>
        <w:t>[16]</w:t>
      </w:r>
      <w:r w:rsidRPr="005E319C">
        <w:rPr>
          <w:lang w:val="es-CO"/>
        </w:rPr>
        <w:tab/>
        <w:t xml:space="preserve">R. Treybal, </w:t>
      </w:r>
      <w:r w:rsidRPr="005E319C">
        <w:rPr>
          <w:i/>
          <w:lang w:val="es-CO"/>
        </w:rPr>
        <w:t>Operaciones de transferencia de masa</w:t>
      </w:r>
      <w:r w:rsidRPr="005E319C">
        <w:rPr>
          <w:lang w:val="es-CO"/>
        </w:rPr>
        <w:t>.</w:t>
      </w:r>
      <w:bookmarkEnd w:id="16"/>
    </w:p>
    <w:p w:rsidR="005E319C" w:rsidRPr="005E319C" w:rsidRDefault="005E319C" w:rsidP="005E319C">
      <w:pPr>
        <w:pStyle w:val="EndNoteBibliography"/>
        <w:spacing w:after="0"/>
        <w:ind w:left="720" w:hanging="720"/>
        <w:rPr>
          <w:lang w:val="es-CO"/>
        </w:rPr>
      </w:pPr>
      <w:bookmarkStart w:id="17" w:name="_ENREF_17"/>
      <w:r w:rsidRPr="005E319C">
        <w:rPr>
          <w:lang w:val="es-CO"/>
        </w:rPr>
        <w:t>[17]</w:t>
      </w:r>
      <w:r w:rsidRPr="005E319C">
        <w:rPr>
          <w:lang w:val="es-CO"/>
        </w:rPr>
        <w:tab/>
        <w:t>A. García, D. Gomez, J. Navaza, and I. Vidal, "Comportamiento hidrodinámico y absorción de dióxido de carbono mediante reacción química con glucosamina en un reactor air-lift," 2010.</w:t>
      </w:r>
      <w:bookmarkEnd w:id="17"/>
    </w:p>
    <w:p w:rsidR="005E319C" w:rsidRPr="005E319C" w:rsidRDefault="005E319C" w:rsidP="005E319C">
      <w:pPr>
        <w:pStyle w:val="EndNoteBibliography"/>
        <w:spacing w:after="0"/>
        <w:ind w:left="720" w:hanging="720"/>
      </w:pPr>
      <w:bookmarkStart w:id="18" w:name="_ENREF_18"/>
      <w:r w:rsidRPr="005E319C">
        <w:t>[18]</w:t>
      </w:r>
      <w:r w:rsidRPr="005E319C">
        <w:tab/>
        <w:t xml:space="preserve">G. Vázquez, M. Sonia, J. Gonzales, and G. Antorrena, "Equilibrium and kinetic modelling of the adsorption of Cd2+ ions onto chestnut shell," </w:t>
      </w:r>
      <w:r w:rsidRPr="005E319C">
        <w:rPr>
          <w:i/>
        </w:rPr>
        <w:t xml:space="preserve">Desalination, </w:t>
      </w:r>
      <w:r w:rsidRPr="005E319C">
        <w:t>vol. 249 (2), pp. 855-860, 2009.</w:t>
      </w:r>
      <w:bookmarkEnd w:id="18"/>
    </w:p>
    <w:p w:rsidR="005E319C" w:rsidRPr="005E319C" w:rsidRDefault="005E319C" w:rsidP="005E319C">
      <w:pPr>
        <w:pStyle w:val="EndNoteBibliography"/>
        <w:ind w:left="720" w:hanging="720"/>
        <w:rPr>
          <w:lang w:val="es-CO"/>
        </w:rPr>
      </w:pPr>
      <w:bookmarkStart w:id="19" w:name="_ENREF_19"/>
      <w:r w:rsidRPr="005E319C">
        <w:rPr>
          <w:lang w:val="es-CO"/>
        </w:rPr>
        <w:t>[19]</w:t>
      </w:r>
      <w:r w:rsidRPr="005E319C">
        <w:rPr>
          <w:lang w:val="es-CO"/>
        </w:rPr>
        <w:tab/>
        <w:t>M. Pajaro and O. Romero, "Remoción de cromo (VI) en un medio acuoso mediante el uso de la cáscara de yuca," Pregrado, Ingeniería Química, Universidad del Atlántico, Barranquilla, 2012.</w:t>
      </w:r>
      <w:bookmarkEnd w:id="19"/>
    </w:p>
    <w:p w:rsidR="00CC08BD" w:rsidRDefault="00C153AA" w:rsidP="00CC08BD">
      <w:pPr>
        <w:tabs>
          <w:tab w:val="left" w:pos="6610"/>
        </w:tabs>
        <w:rPr>
          <w:rFonts w:cs="Times New Roman"/>
          <w:szCs w:val="20"/>
        </w:rPr>
      </w:pPr>
      <w:r>
        <w:rPr>
          <w:rFonts w:cs="Times New Roman"/>
          <w:szCs w:val="20"/>
        </w:rPr>
        <w:fldChar w:fldCharType="end"/>
      </w:r>
    </w:p>
    <w:sectPr w:rsidR="00CC08BD" w:rsidSect="00D54E60">
      <w:type w:val="continuous"/>
      <w:pgSz w:w="11907" w:h="16840" w:code="9"/>
      <w:pgMar w:top="1134" w:right="1134" w:bottom="1134" w:left="1134" w:header="709" w:footer="709" w:gutter="0"/>
      <w:cols w:num="2"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3C91" w:rsidRDefault="00C13C91" w:rsidP="00975576">
      <w:pPr>
        <w:spacing w:after="0"/>
      </w:pPr>
      <w:r>
        <w:separator/>
      </w:r>
    </w:p>
  </w:endnote>
  <w:endnote w:type="continuationSeparator" w:id="0">
    <w:p w:rsidR="00C13C91" w:rsidRDefault="00C13C91" w:rsidP="0097557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 Pro Cond">
    <w:altName w:val="Arial"/>
    <w:panose1 w:val="00000000000000000000"/>
    <w:charset w:val="00"/>
    <w:family w:val="swiss"/>
    <w:notTrueType/>
    <w:pitch w:val="variable"/>
    <w:sig w:usb0="20000287" w:usb1="00000001"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3C91" w:rsidRDefault="00C13C91" w:rsidP="00975576">
      <w:pPr>
        <w:spacing w:after="0"/>
      </w:pPr>
      <w:r>
        <w:separator/>
      </w:r>
    </w:p>
  </w:footnote>
  <w:footnote w:type="continuationSeparator" w:id="0">
    <w:p w:rsidR="00C13C91" w:rsidRDefault="00C13C91" w:rsidP="0097557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19C" w:rsidRDefault="005E319C">
    <w:pPr>
      <w:pStyle w:val="Encabezado"/>
    </w:pPr>
  </w:p>
  <w:p w:rsidR="005E319C" w:rsidRDefault="005E319C">
    <w:pPr>
      <w:pStyle w:val="Encabezado"/>
    </w:pPr>
  </w:p>
  <w:p w:rsidR="005E319C" w:rsidRDefault="005E319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13A22"/>
    <w:multiLevelType w:val="hybridMultilevel"/>
    <w:tmpl w:val="0CA4722A"/>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11D2575B"/>
    <w:multiLevelType w:val="hybridMultilevel"/>
    <w:tmpl w:val="594C3F3A"/>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165F5EAB"/>
    <w:multiLevelType w:val="hybridMultilevel"/>
    <w:tmpl w:val="5702641E"/>
    <w:lvl w:ilvl="0" w:tplc="3410D008">
      <w:start w:val="1"/>
      <w:numFmt w:val="decimal"/>
      <w:lvlText w:val="%1."/>
      <w:lvlJc w:val="left"/>
      <w:pPr>
        <w:ind w:left="720" w:hanging="360"/>
      </w:pPr>
      <w:rPr>
        <w:rFonts w:hint="default"/>
        <w:sz w:val="16"/>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1C5E719C"/>
    <w:multiLevelType w:val="hybridMultilevel"/>
    <w:tmpl w:val="28802A22"/>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1C964CA1"/>
    <w:multiLevelType w:val="hybridMultilevel"/>
    <w:tmpl w:val="A238DA54"/>
    <w:lvl w:ilvl="0" w:tplc="BADAC810">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2A7D4633"/>
    <w:multiLevelType w:val="hybridMultilevel"/>
    <w:tmpl w:val="95D0CB5A"/>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2DA2536A"/>
    <w:multiLevelType w:val="hybridMultilevel"/>
    <w:tmpl w:val="95D0CB5A"/>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304617AF"/>
    <w:multiLevelType w:val="hybridMultilevel"/>
    <w:tmpl w:val="392C9614"/>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34320EEF"/>
    <w:multiLevelType w:val="hybridMultilevel"/>
    <w:tmpl w:val="21DEC9BE"/>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358E4446"/>
    <w:multiLevelType w:val="hybridMultilevel"/>
    <w:tmpl w:val="EF5C3B02"/>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365E7FDE"/>
    <w:multiLevelType w:val="hybridMultilevel"/>
    <w:tmpl w:val="815E7D70"/>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51A90FA5"/>
    <w:multiLevelType w:val="hybridMultilevel"/>
    <w:tmpl w:val="21DEC9BE"/>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545D4B16"/>
    <w:multiLevelType w:val="hybridMultilevel"/>
    <w:tmpl w:val="9B20AED6"/>
    <w:lvl w:ilvl="0" w:tplc="BADAC810">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546738C6"/>
    <w:multiLevelType w:val="hybridMultilevel"/>
    <w:tmpl w:val="B22A86A0"/>
    <w:lvl w:ilvl="0" w:tplc="BADAC810">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6EC4318D"/>
    <w:multiLevelType w:val="hybridMultilevel"/>
    <w:tmpl w:val="B686B56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791F7144"/>
    <w:multiLevelType w:val="hybridMultilevel"/>
    <w:tmpl w:val="B686B56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7AC8273A"/>
    <w:multiLevelType w:val="hybridMultilevel"/>
    <w:tmpl w:val="4BB4872E"/>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0"/>
  </w:num>
  <w:num w:numId="2">
    <w:abstractNumId w:val="3"/>
  </w:num>
  <w:num w:numId="3">
    <w:abstractNumId w:val="4"/>
  </w:num>
  <w:num w:numId="4">
    <w:abstractNumId w:val="6"/>
  </w:num>
  <w:num w:numId="5">
    <w:abstractNumId w:val="15"/>
  </w:num>
  <w:num w:numId="6">
    <w:abstractNumId w:val="0"/>
  </w:num>
  <w:num w:numId="7">
    <w:abstractNumId w:val="1"/>
  </w:num>
  <w:num w:numId="8">
    <w:abstractNumId w:val="9"/>
  </w:num>
  <w:num w:numId="9">
    <w:abstractNumId w:val="2"/>
  </w:num>
  <w:num w:numId="10">
    <w:abstractNumId w:val="5"/>
  </w:num>
  <w:num w:numId="11">
    <w:abstractNumId w:val="12"/>
  </w:num>
  <w:num w:numId="12">
    <w:abstractNumId w:val="14"/>
  </w:num>
  <w:num w:numId="13">
    <w:abstractNumId w:val="16"/>
  </w:num>
  <w:num w:numId="14">
    <w:abstractNumId w:val="11"/>
  </w:num>
  <w:num w:numId="15">
    <w:abstractNumId w:val="7"/>
  </w:num>
  <w:num w:numId="16">
    <w:abstractNumId w:val="8"/>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Layout" w:val="&lt;ENLayout&gt;&lt;Style&gt;IEEE&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af55vdv5m25e9ve2er6xeed5fe2stf0fdwzw&quot;&gt;My EndNote Library&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record-ids&gt;&lt;/item&gt;&lt;/Libraries&gt;"/>
  </w:docVars>
  <w:rsids>
    <w:rsidRoot w:val="00D309D1"/>
    <w:rsid w:val="00037F03"/>
    <w:rsid w:val="00046F39"/>
    <w:rsid w:val="000B1E8C"/>
    <w:rsid w:val="000C1AD4"/>
    <w:rsid w:val="0010278B"/>
    <w:rsid w:val="0010417B"/>
    <w:rsid w:val="00136F57"/>
    <w:rsid w:val="00140AD0"/>
    <w:rsid w:val="00145DCA"/>
    <w:rsid w:val="001560AE"/>
    <w:rsid w:val="001B1A3A"/>
    <w:rsid w:val="001C19A5"/>
    <w:rsid w:val="001C481F"/>
    <w:rsid w:val="001E6ED4"/>
    <w:rsid w:val="00202EC6"/>
    <w:rsid w:val="00220468"/>
    <w:rsid w:val="002242C8"/>
    <w:rsid w:val="002C31B5"/>
    <w:rsid w:val="002C3D10"/>
    <w:rsid w:val="002D1F2E"/>
    <w:rsid w:val="002D23F7"/>
    <w:rsid w:val="002E0E5D"/>
    <w:rsid w:val="00303937"/>
    <w:rsid w:val="00317FA7"/>
    <w:rsid w:val="00342513"/>
    <w:rsid w:val="0034328E"/>
    <w:rsid w:val="003453F9"/>
    <w:rsid w:val="0035393C"/>
    <w:rsid w:val="003663FF"/>
    <w:rsid w:val="00367427"/>
    <w:rsid w:val="00367A12"/>
    <w:rsid w:val="003C05CD"/>
    <w:rsid w:val="003F30C3"/>
    <w:rsid w:val="0040221B"/>
    <w:rsid w:val="00412300"/>
    <w:rsid w:val="00436856"/>
    <w:rsid w:val="004543D3"/>
    <w:rsid w:val="004C59B9"/>
    <w:rsid w:val="004C69FF"/>
    <w:rsid w:val="004D09C0"/>
    <w:rsid w:val="00504B68"/>
    <w:rsid w:val="00505F51"/>
    <w:rsid w:val="00511CDD"/>
    <w:rsid w:val="00523C9A"/>
    <w:rsid w:val="00525160"/>
    <w:rsid w:val="00525994"/>
    <w:rsid w:val="00587556"/>
    <w:rsid w:val="005B54C1"/>
    <w:rsid w:val="005C00D8"/>
    <w:rsid w:val="005E0A68"/>
    <w:rsid w:val="005E319C"/>
    <w:rsid w:val="005E3957"/>
    <w:rsid w:val="005F438E"/>
    <w:rsid w:val="00606735"/>
    <w:rsid w:val="00617AA0"/>
    <w:rsid w:val="00670A64"/>
    <w:rsid w:val="0068292A"/>
    <w:rsid w:val="006D4A74"/>
    <w:rsid w:val="006D4C9E"/>
    <w:rsid w:val="006F60F0"/>
    <w:rsid w:val="007141E7"/>
    <w:rsid w:val="0071574C"/>
    <w:rsid w:val="00716B09"/>
    <w:rsid w:val="00745EA9"/>
    <w:rsid w:val="0074715C"/>
    <w:rsid w:val="00762723"/>
    <w:rsid w:val="0078733E"/>
    <w:rsid w:val="00793B9C"/>
    <w:rsid w:val="007C4A7E"/>
    <w:rsid w:val="007E09FA"/>
    <w:rsid w:val="00830F9F"/>
    <w:rsid w:val="00872122"/>
    <w:rsid w:val="008A6DF3"/>
    <w:rsid w:val="008B0A20"/>
    <w:rsid w:val="00912F1B"/>
    <w:rsid w:val="00947748"/>
    <w:rsid w:val="00975576"/>
    <w:rsid w:val="009816AC"/>
    <w:rsid w:val="009A467D"/>
    <w:rsid w:val="009A75B3"/>
    <w:rsid w:val="009B2D88"/>
    <w:rsid w:val="00A74A29"/>
    <w:rsid w:val="00A76D7B"/>
    <w:rsid w:val="00A76F1A"/>
    <w:rsid w:val="00A86965"/>
    <w:rsid w:val="00AA7CB0"/>
    <w:rsid w:val="00AB3AD9"/>
    <w:rsid w:val="00AC2F08"/>
    <w:rsid w:val="00AC3769"/>
    <w:rsid w:val="00AF72A4"/>
    <w:rsid w:val="00B133A3"/>
    <w:rsid w:val="00B263E8"/>
    <w:rsid w:val="00B31360"/>
    <w:rsid w:val="00B869C2"/>
    <w:rsid w:val="00BA3F63"/>
    <w:rsid w:val="00BB7FED"/>
    <w:rsid w:val="00BD4ACE"/>
    <w:rsid w:val="00C13C91"/>
    <w:rsid w:val="00C153AA"/>
    <w:rsid w:val="00C252EA"/>
    <w:rsid w:val="00C3699B"/>
    <w:rsid w:val="00C43DB1"/>
    <w:rsid w:val="00C62CCD"/>
    <w:rsid w:val="00C71408"/>
    <w:rsid w:val="00C905A8"/>
    <w:rsid w:val="00CC08BD"/>
    <w:rsid w:val="00CC34C7"/>
    <w:rsid w:val="00CD226A"/>
    <w:rsid w:val="00CE4631"/>
    <w:rsid w:val="00CF05D8"/>
    <w:rsid w:val="00CF1CA7"/>
    <w:rsid w:val="00D309D1"/>
    <w:rsid w:val="00D31B02"/>
    <w:rsid w:val="00D54E60"/>
    <w:rsid w:val="00D95914"/>
    <w:rsid w:val="00E15F45"/>
    <w:rsid w:val="00E16DED"/>
    <w:rsid w:val="00E201AD"/>
    <w:rsid w:val="00E53790"/>
    <w:rsid w:val="00E6361C"/>
    <w:rsid w:val="00E83C9A"/>
    <w:rsid w:val="00F11F08"/>
    <w:rsid w:val="00F369D9"/>
    <w:rsid w:val="00F46A23"/>
    <w:rsid w:val="00F51E45"/>
    <w:rsid w:val="00F56636"/>
    <w:rsid w:val="00FA5E44"/>
    <w:rsid w:val="00FA689E"/>
    <w:rsid w:val="00FA7782"/>
    <w:rsid w:val="00FC438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ind w:firstLine="20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6F39"/>
    <w:rPr>
      <w:rFonts w:ascii="Times New Roman" w:hAnsi="Times New Roman"/>
      <w:sz w:val="20"/>
    </w:rPr>
  </w:style>
  <w:style w:type="paragraph" w:styleId="Ttulo2">
    <w:name w:val="heading 2"/>
    <w:basedOn w:val="Normal"/>
    <w:next w:val="Normal"/>
    <w:link w:val="Ttulo2Car"/>
    <w:uiPriority w:val="9"/>
    <w:unhideWhenUsed/>
    <w:qFormat/>
    <w:rsid w:val="00A74A2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453F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309D1"/>
    <w:pPr>
      <w:ind w:left="720"/>
      <w:contextualSpacing/>
    </w:pPr>
  </w:style>
  <w:style w:type="paragraph" w:styleId="Textodeglobo">
    <w:name w:val="Balloon Text"/>
    <w:basedOn w:val="Normal"/>
    <w:link w:val="TextodegloboCar"/>
    <w:uiPriority w:val="99"/>
    <w:semiHidden/>
    <w:unhideWhenUsed/>
    <w:rsid w:val="00D309D1"/>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309D1"/>
    <w:rPr>
      <w:rFonts w:ascii="Tahoma" w:hAnsi="Tahoma" w:cs="Tahoma"/>
      <w:sz w:val="16"/>
      <w:szCs w:val="16"/>
    </w:rPr>
  </w:style>
  <w:style w:type="paragraph" w:customStyle="1" w:styleId="TTULO">
    <w:name w:val="TÍTULO"/>
    <w:basedOn w:val="Normal"/>
    <w:next w:val="Normal"/>
    <w:uiPriority w:val="99"/>
    <w:rsid w:val="00D309D1"/>
    <w:pPr>
      <w:suppressAutoHyphens/>
      <w:autoSpaceDE w:val="0"/>
      <w:autoSpaceDN w:val="0"/>
      <w:adjustRightInd w:val="0"/>
      <w:spacing w:after="0" w:line="560" w:lineRule="atLeast"/>
      <w:textAlignment w:val="center"/>
    </w:pPr>
    <w:rPr>
      <w:rFonts w:ascii="Myriad Pro Cond" w:hAnsi="Myriad Pro Cond" w:cs="Myriad Pro Cond"/>
      <w:b/>
      <w:bCs/>
      <w:caps/>
      <w:color w:val="000000"/>
      <w:sz w:val="48"/>
      <w:szCs w:val="48"/>
      <w:lang w:val="es-ES_tradnl"/>
    </w:rPr>
  </w:style>
  <w:style w:type="character" w:styleId="Hipervnculo">
    <w:name w:val="Hyperlink"/>
    <w:basedOn w:val="Fuentedeprrafopredeter"/>
    <w:uiPriority w:val="99"/>
    <w:rsid w:val="00D309D1"/>
    <w:rPr>
      <w:color w:val="0000FF"/>
      <w:w w:val="100"/>
      <w:u w:val="thick" w:color="0000FF"/>
    </w:rPr>
  </w:style>
  <w:style w:type="paragraph" w:styleId="Epgrafe">
    <w:name w:val="caption"/>
    <w:basedOn w:val="Normal"/>
    <w:next w:val="Normal"/>
    <w:uiPriority w:val="35"/>
    <w:unhideWhenUsed/>
    <w:qFormat/>
    <w:rsid w:val="0010278B"/>
    <w:rPr>
      <w:b/>
      <w:bCs/>
      <w:color w:val="4F81BD" w:themeColor="accent1"/>
      <w:sz w:val="18"/>
      <w:szCs w:val="18"/>
    </w:rPr>
  </w:style>
  <w:style w:type="character" w:styleId="Hipervnculovisitado">
    <w:name w:val="FollowedHyperlink"/>
    <w:basedOn w:val="Fuentedeprrafopredeter"/>
    <w:uiPriority w:val="99"/>
    <w:semiHidden/>
    <w:unhideWhenUsed/>
    <w:rsid w:val="005F438E"/>
    <w:rPr>
      <w:color w:val="800080" w:themeColor="followedHyperlink"/>
      <w:u w:val="single"/>
    </w:rPr>
  </w:style>
  <w:style w:type="paragraph" w:styleId="Textonotaalfinal">
    <w:name w:val="endnote text"/>
    <w:basedOn w:val="Normal"/>
    <w:link w:val="TextonotaalfinalCar"/>
    <w:uiPriority w:val="99"/>
    <w:semiHidden/>
    <w:unhideWhenUsed/>
    <w:rsid w:val="00975576"/>
    <w:pPr>
      <w:spacing w:after="0"/>
    </w:pPr>
    <w:rPr>
      <w:szCs w:val="20"/>
    </w:rPr>
  </w:style>
  <w:style w:type="character" w:customStyle="1" w:styleId="TextonotaalfinalCar">
    <w:name w:val="Texto nota al final Car"/>
    <w:basedOn w:val="Fuentedeprrafopredeter"/>
    <w:link w:val="Textonotaalfinal"/>
    <w:uiPriority w:val="99"/>
    <w:semiHidden/>
    <w:rsid w:val="00975576"/>
    <w:rPr>
      <w:sz w:val="20"/>
      <w:szCs w:val="20"/>
    </w:rPr>
  </w:style>
  <w:style w:type="character" w:styleId="Refdenotaalfinal">
    <w:name w:val="endnote reference"/>
    <w:basedOn w:val="Fuentedeprrafopredeter"/>
    <w:uiPriority w:val="99"/>
    <w:semiHidden/>
    <w:unhideWhenUsed/>
    <w:rsid w:val="00975576"/>
    <w:rPr>
      <w:vertAlign w:val="superscript"/>
    </w:rPr>
  </w:style>
  <w:style w:type="paragraph" w:styleId="Textonotapie">
    <w:name w:val="footnote text"/>
    <w:basedOn w:val="Normal"/>
    <w:link w:val="TextonotapieCar"/>
    <w:uiPriority w:val="99"/>
    <w:semiHidden/>
    <w:unhideWhenUsed/>
    <w:rsid w:val="00975576"/>
    <w:pPr>
      <w:spacing w:after="0"/>
    </w:pPr>
    <w:rPr>
      <w:szCs w:val="20"/>
    </w:rPr>
  </w:style>
  <w:style w:type="character" w:customStyle="1" w:styleId="TextonotapieCar">
    <w:name w:val="Texto nota pie Car"/>
    <w:basedOn w:val="Fuentedeprrafopredeter"/>
    <w:link w:val="Textonotapie"/>
    <w:uiPriority w:val="99"/>
    <w:semiHidden/>
    <w:rsid w:val="00975576"/>
    <w:rPr>
      <w:sz w:val="20"/>
      <w:szCs w:val="20"/>
    </w:rPr>
  </w:style>
  <w:style w:type="character" w:styleId="Refdenotaalpie">
    <w:name w:val="footnote reference"/>
    <w:basedOn w:val="Fuentedeprrafopredeter"/>
    <w:uiPriority w:val="99"/>
    <w:semiHidden/>
    <w:unhideWhenUsed/>
    <w:rsid w:val="00975576"/>
    <w:rPr>
      <w:vertAlign w:val="superscript"/>
    </w:rPr>
  </w:style>
  <w:style w:type="paragraph" w:styleId="NormalWeb">
    <w:name w:val="Normal (Web)"/>
    <w:basedOn w:val="Normal"/>
    <w:uiPriority w:val="99"/>
    <w:semiHidden/>
    <w:unhideWhenUsed/>
    <w:rsid w:val="00525994"/>
    <w:pPr>
      <w:spacing w:before="100" w:beforeAutospacing="1" w:after="100" w:afterAutospacing="1"/>
    </w:pPr>
    <w:rPr>
      <w:rFonts w:eastAsia="Times New Roman" w:cs="Times New Roman"/>
      <w:sz w:val="24"/>
      <w:szCs w:val="24"/>
      <w:lang w:eastAsia="es-CO"/>
    </w:rPr>
  </w:style>
  <w:style w:type="paragraph" w:styleId="Encabezado">
    <w:name w:val="header"/>
    <w:basedOn w:val="Normal"/>
    <w:link w:val="EncabezadoCar"/>
    <w:uiPriority w:val="99"/>
    <w:unhideWhenUsed/>
    <w:rsid w:val="00FC4385"/>
    <w:pPr>
      <w:tabs>
        <w:tab w:val="center" w:pos="4419"/>
        <w:tab w:val="right" w:pos="8838"/>
      </w:tabs>
      <w:spacing w:after="0"/>
    </w:pPr>
  </w:style>
  <w:style w:type="character" w:customStyle="1" w:styleId="EncabezadoCar">
    <w:name w:val="Encabezado Car"/>
    <w:basedOn w:val="Fuentedeprrafopredeter"/>
    <w:link w:val="Encabezado"/>
    <w:uiPriority w:val="99"/>
    <w:rsid w:val="00FC4385"/>
  </w:style>
  <w:style w:type="paragraph" w:styleId="Piedepgina">
    <w:name w:val="footer"/>
    <w:basedOn w:val="Normal"/>
    <w:link w:val="PiedepginaCar"/>
    <w:uiPriority w:val="99"/>
    <w:unhideWhenUsed/>
    <w:rsid w:val="00FC4385"/>
    <w:pPr>
      <w:tabs>
        <w:tab w:val="center" w:pos="4419"/>
        <w:tab w:val="right" w:pos="8838"/>
      </w:tabs>
      <w:spacing w:after="0"/>
    </w:pPr>
  </w:style>
  <w:style w:type="character" w:customStyle="1" w:styleId="PiedepginaCar">
    <w:name w:val="Pie de página Car"/>
    <w:basedOn w:val="Fuentedeprrafopredeter"/>
    <w:link w:val="Piedepgina"/>
    <w:uiPriority w:val="99"/>
    <w:rsid w:val="00FC4385"/>
  </w:style>
  <w:style w:type="character" w:styleId="Refdecomentario">
    <w:name w:val="annotation reference"/>
    <w:basedOn w:val="Fuentedeprrafopredeter"/>
    <w:uiPriority w:val="99"/>
    <w:semiHidden/>
    <w:unhideWhenUsed/>
    <w:rsid w:val="00412300"/>
    <w:rPr>
      <w:sz w:val="16"/>
      <w:szCs w:val="16"/>
    </w:rPr>
  </w:style>
  <w:style w:type="paragraph" w:styleId="Textocomentario">
    <w:name w:val="annotation text"/>
    <w:basedOn w:val="Normal"/>
    <w:link w:val="TextocomentarioCar"/>
    <w:uiPriority w:val="99"/>
    <w:semiHidden/>
    <w:unhideWhenUsed/>
    <w:rsid w:val="00412300"/>
    <w:rPr>
      <w:szCs w:val="20"/>
    </w:rPr>
  </w:style>
  <w:style w:type="character" w:customStyle="1" w:styleId="TextocomentarioCar">
    <w:name w:val="Texto comentario Car"/>
    <w:basedOn w:val="Fuentedeprrafopredeter"/>
    <w:link w:val="Textocomentario"/>
    <w:uiPriority w:val="99"/>
    <w:semiHidden/>
    <w:rsid w:val="00412300"/>
    <w:rPr>
      <w:sz w:val="20"/>
      <w:szCs w:val="20"/>
    </w:rPr>
  </w:style>
  <w:style w:type="paragraph" w:styleId="Asuntodelcomentario">
    <w:name w:val="annotation subject"/>
    <w:basedOn w:val="Textocomentario"/>
    <w:next w:val="Textocomentario"/>
    <w:link w:val="AsuntodelcomentarioCar"/>
    <w:uiPriority w:val="99"/>
    <w:semiHidden/>
    <w:unhideWhenUsed/>
    <w:rsid w:val="00412300"/>
    <w:rPr>
      <w:b/>
      <w:bCs/>
    </w:rPr>
  </w:style>
  <w:style w:type="character" w:customStyle="1" w:styleId="AsuntodelcomentarioCar">
    <w:name w:val="Asunto del comentario Car"/>
    <w:basedOn w:val="TextocomentarioCar"/>
    <w:link w:val="Asuntodelcomentario"/>
    <w:uiPriority w:val="99"/>
    <w:semiHidden/>
    <w:rsid w:val="00412300"/>
    <w:rPr>
      <w:b/>
      <w:bCs/>
      <w:sz w:val="20"/>
      <w:szCs w:val="20"/>
    </w:rPr>
  </w:style>
  <w:style w:type="paragraph" w:customStyle="1" w:styleId="IndexTerms">
    <w:name w:val="IndexTerms"/>
    <w:basedOn w:val="Normal"/>
    <w:next w:val="Normal"/>
    <w:rsid w:val="007E09FA"/>
    <w:pPr>
      <w:spacing w:after="0"/>
      <w:ind w:firstLine="240"/>
    </w:pPr>
    <w:rPr>
      <w:rFonts w:eastAsia="Times New Roman" w:cs="Times New Roman"/>
      <w:b/>
      <w:sz w:val="18"/>
      <w:szCs w:val="20"/>
      <w:lang w:val="en-US"/>
    </w:rPr>
  </w:style>
  <w:style w:type="paragraph" w:customStyle="1" w:styleId="Text">
    <w:name w:val="Text"/>
    <w:basedOn w:val="Normal"/>
    <w:link w:val="TextCar"/>
    <w:rsid w:val="00BA3F63"/>
    <w:pPr>
      <w:widowControl w:val="0"/>
      <w:spacing w:after="0" w:line="252" w:lineRule="auto"/>
      <w:ind w:firstLine="240"/>
    </w:pPr>
    <w:rPr>
      <w:rFonts w:eastAsia="Times New Roman" w:cs="Times New Roman"/>
      <w:szCs w:val="20"/>
      <w:lang w:val="en-US"/>
    </w:rPr>
  </w:style>
  <w:style w:type="character" w:customStyle="1" w:styleId="TextCar">
    <w:name w:val="Text Car"/>
    <w:link w:val="Text"/>
    <w:rsid w:val="00BA3F63"/>
    <w:rPr>
      <w:rFonts w:ascii="Times New Roman" w:eastAsia="Times New Roman" w:hAnsi="Times New Roman" w:cs="Times New Roman"/>
      <w:sz w:val="20"/>
      <w:szCs w:val="20"/>
      <w:lang w:val="en-US"/>
    </w:rPr>
  </w:style>
  <w:style w:type="paragraph" w:customStyle="1" w:styleId="EndNoteBibliographyTitle">
    <w:name w:val="EndNote Bibliography Title"/>
    <w:basedOn w:val="Normal"/>
    <w:link w:val="EndNoteBibliographyTitleCar"/>
    <w:rsid w:val="00C153AA"/>
    <w:pPr>
      <w:spacing w:after="0"/>
      <w:jc w:val="center"/>
    </w:pPr>
    <w:rPr>
      <w:rFonts w:cs="Times New Roman"/>
      <w:noProof/>
      <w:lang w:val="en-US"/>
    </w:rPr>
  </w:style>
  <w:style w:type="character" w:customStyle="1" w:styleId="EndNoteBibliographyTitleCar">
    <w:name w:val="EndNote Bibliography Title Car"/>
    <w:basedOn w:val="Fuentedeprrafopredeter"/>
    <w:link w:val="EndNoteBibliographyTitle"/>
    <w:rsid w:val="00C153AA"/>
    <w:rPr>
      <w:rFonts w:ascii="Times New Roman" w:hAnsi="Times New Roman" w:cs="Times New Roman"/>
      <w:noProof/>
      <w:sz w:val="20"/>
      <w:lang w:val="en-US"/>
    </w:rPr>
  </w:style>
  <w:style w:type="paragraph" w:customStyle="1" w:styleId="EndNoteBibliography">
    <w:name w:val="EndNote Bibliography"/>
    <w:basedOn w:val="Normal"/>
    <w:link w:val="EndNoteBibliographyCar"/>
    <w:rsid w:val="00C153AA"/>
    <w:rPr>
      <w:rFonts w:cs="Times New Roman"/>
      <w:noProof/>
      <w:lang w:val="en-US"/>
    </w:rPr>
  </w:style>
  <w:style w:type="character" w:customStyle="1" w:styleId="EndNoteBibliographyCar">
    <w:name w:val="EndNote Bibliography Car"/>
    <w:basedOn w:val="Fuentedeprrafopredeter"/>
    <w:link w:val="EndNoteBibliography"/>
    <w:rsid w:val="00C153AA"/>
    <w:rPr>
      <w:rFonts w:ascii="Times New Roman" w:hAnsi="Times New Roman" w:cs="Times New Roman"/>
      <w:noProof/>
      <w:sz w:val="20"/>
      <w:lang w:val="en-US"/>
    </w:rPr>
  </w:style>
  <w:style w:type="character" w:customStyle="1" w:styleId="Ttulo2Car">
    <w:name w:val="Título 2 Car"/>
    <w:basedOn w:val="Fuentedeprrafopredeter"/>
    <w:link w:val="Ttulo2"/>
    <w:uiPriority w:val="9"/>
    <w:rsid w:val="00A74A29"/>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semiHidden/>
    <w:rsid w:val="003453F9"/>
    <w:rPr>
      <w:rFonts w:asciiTheme="majorHAnsi" w:eastAsiaTheme="majorEastAsia" w:hAnsiTheme="majorHAnsi" w:cstheme="majorBidi"/>
      <w:color w:val="243F60" w:themeColor="accent1" w:themeShade="7F"/>
      <w:sz w:val="24"/>
      <w:szCs w:val="24"/>
    </w:rPr>
  </w:style>
  <w:style w:type="table" w:customStyle="1" w:styleId="PlainTable2">
    <w:name w:val="Plain Table 2"/>
    <w:basedOn w:val="Tablanormal"/>
    <w:uiPriority w:val="42"/>
    <w:rsid w:val="00F51E45"/>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leTitle">
    <w:name w:val="Table Title"/>
    <w:basedOn w:val="Normal"/>
    <w:rsid w:val="00617AA0"/>
    <w:pPr>
      <w:spacing w:after="0"/>
      <w:ind w:firstLine="0"/>
      <w:jc w:val="center"/>
    </w:pPr>
    <w:rPr>
      <w:rFonts w:eastAsia="Times New Roman" w:cs="Times New Roman"/>
      <w:smallCaps/>
      <w:sz w:val="16"/>
      <w:szCs w:val="20"/>
      <w:lang w:val="en-US"/>
    </w:rPr>
  </w:style>
  <w:style w:type="table" w:styleId="Tablaconcuadrcula">
    <w:name w:val="Table Grid"/>
    <w:basedOn w:val="Tablanormal"/>
    <w:uiPriority w:val="59"/>
    <w:rsid w:val="00617AA0"/>
    <w:pPr>
      <w:spacing w:after="0"/>
      <w:ind w:firstLine="0"/>
      <w:jc w:val="left"/>
    </w:pPr>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ind w:firstLine="20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6F39"/>
    <w:rPr>
      <w:rFonts w:ascii="Times New Roman" w:hAnsi="Times New Roman"/>
      <w:sz w:val="20"/>
    </w:rPr>
  </w:style>
  <w:style w:type="paragraph" w:styleId="Ttulo2">
    <w:name w:val="heading 2"/>
    <w:basedOn w:val="Normal"/>
    <w:next w:val="Normal"/>
    <w:link w:val="Ttulo2Car"/>
    <w:uiPriority w:val="9"/>
    <w:unhideWhenUsed/>
    <w:qFormat/>
    <w:rsid w:val="00A74A2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453F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309D1"/>
    <w:pPr>
      <w:ind w:left="720"/>
      <w:contextualSpacing/>
    </w:pPr>
  </w:style>
  <w:style w:type="paragraph" w:styleId="Textodeglobo">
    <w:name w:val="Balloon Text"/>
    <w:basedOn w:val="Normal"/>
    <w:link w:val="TextodegloboCar"/>
    <w:uiPriority w:val="99"/>
    <w:semiHidden/>
    <w:unhideWhenUsed/>
    <w:rsid w:val="00D309D1"/>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309D1"/>
    <w:rPr>
      <w:rFonts w:ascii="Tahoma" w:hAnsi="Tahoma" w:cs="Tahoma"/>
      <w:sz w:val="16"/>
      <w:szCs w:val="16"/>
    </w:rPr>
  </w:style>
  <w:style w:type="paragraph" w:customStyle="1" w:styleId="TTULO">
    <w:name w:val="TÍTULO"/>
    <w:basedOn w:val="Normal"/>
    <w:next w:val="Normal"/>
    <w:uiPriority w:val="99"/>
    <w:rsid w:val="00D309D1"/>
    <w:pPr>
      <w:suppressAutoHyphens/>
      <w:autoSpaceDE w:val="0"/>
      <w:autoSpaceDN w:val="0"/>
      <w:adjustRightInd w:val="0"/>
      <w:spacing w:after="0" w:line="560" w:lineRule="atLeast"/>
      <w:textAlignment w:val="center"/>
    </w:pPr>
    <w:rPr>
      <w:rFonts w:ascii="Myriad Pro Cond" w:hAnsi="Myriad Pro Cond" w:cs="Myriad Pro Cond"/>
      <w:b/>
      <w:bCs/>
      <w:caps/>
      <w:color w:val="000000"/>
      <w:sz w:val="48"/>
      <w:szCs w:val="48"/>
      <w:lang w:val="es-ES_tradnl"/>
    </w:rPr>
  </w:style>
  <w:style w:type="character" w:styleId="Hipervnculo">
    <w:name w:val="Hyperlink"/>
    <w:basedOn w:val="Fuentedeprrafopredeter"/>
    <w:uiPriority w:val="99"/>
    <w:rsid w:val="00D309D1"/>
    <w:rPr>
      <w:color w:val="0000FF"/>
      <w:w w:val="100"/>
      <w:u w:val="thick" w:color="0000FF"/>
    </w:rPr>
  </w:style>
  <w:style w:type="paragraph" w:styleId="Epgrafe">
    <w:name w:val="caption"/>
    <w:basedOn w:val="Normal"/>
    <w:next w:val="Normal"/>
    <w:uiPriority w:val="35"/>
    <w:unhideWhenUsed/>
    <w:qFormat/>
    <w:rsid w:val="0010278B"/>
    <w:rPr>
      <w:b/>
      <w:bCs/>
      <w:color w:val="4F81BD" w:themeColor="accent1"/>
      <w:sz w:val="18"/>
      <w:szCs w:val="18"/>
    </w:rPr>
  </w:style>
  <w:style w:type="character" w:styleId="Hipervnculovisitado">
    <w:name w:val="FollowedHyperlink"/>
    <w:basedOn w:val="Fuentedeprrafopredeter"/>
    <w:uiPriority w:val="99"/>
    <w:semiHidden/>
    <w:unhideWhenUsed/>
    <w:rsid w:val="005F438E"/>
    <w:rPr>
      <w:color w:val="800080" w:themeColor="followedHyperlink"/>
      <w:u w:val="single"/>
    </w:rPr>
  </w:style>
  <w:style w:type="paragraph" w:styleId="Textonotaalfinal">
    <w:name w:val="endnote text"/>
    <w:basedOn w:val="Normal"/>
    <w:link w:val="TextonotaalfinalCar"/>
    <w:uiPriority w:val="99"/>
    <w:semiHidden/>
    <w:unhideWhenUsed/>
    <w:rsid w:val="00975576"/>
    <w:pPr>
      <w:spacing w:after="0"/>
    </w:pPr>
    <w:rPr>
      <w:szCs w:val="20"/>
    </w:rPr>
  </w:style>
  <w:style w:type="character" w:customStyle="1" w:styleId="TextonotaalfinalCar">
    <w:name w:val="Texto nota al final Car"/>
    <w:basedOn w:val="Fuentedeprrafopredeter"/>
    <w:link w:val="Textonotaalfinal"/>
    <w:uiPriority w:val="99"/>
    <w:semiHidden/>
    <w:rsid w:val="00975576"/>
    <w:rPr>
      <w:sz w:val="20"/>
      <w:szCs w:val="20"/>
    </w:rPr>
  </w:style>
  <w:style w:type="character" w:styleId="Refdenotaalfinal">
    <w:name w:val="endnote reference"/>
    <w:basedOn w:val="Fuentedeprrafopredeter"/>
    <w:uiPriority w:val="99"/>
    <w:semiHidden/>
    <w:unhideWhenUsed/>
    <w:rsid w:val="00975576"/>
    <w:rPr>
      <w:vertAlign w:val="superscript"/>
    </w:rPr>
  </w:style>
  <w:style w:type="paragraph" w:styleId="Textonotapie">
    <w:name w:val="footnote text"/>
    <w:basedOn w:val="Normal"/>
    <w:link w:val="TextonotapieCar"/>
    <w:uiPriority w:val="99"/>
    <w:semiHidden/>
    <w:unhideWhenUsed/>
    <w:rsid w:val="00975576"/>
    <w:pPr>
      <w:spacing w:after="0"/>
    </w:pPr>
    <w:rPr>
      <w:szCs w:val="20"/>
    </w:rPr>
  </w:style>
  <w:style w:type="character" w:customStyle="1" w:styleId="TextonotapieCar">
    <w:name w:val="Texto nota pie Car"/>
    <w:basedOn w:val="Fuentedeprrafopredeter"/>
    <w:link w:val="Textonotapie"/>
    <w:uiPriority w:val="99"/>
    <w:semiHidden/>
    <w:rsid w:val="00975576"/>
    <w:rPr>
      <w:sz w:val="20"/>
      <w:szCs w:val="20"/>
    </w:rPr>
  </w:style>
  <w:style w:type="character" w:styleId="Refdenotaalpie">
    <w:name w:val="footnote reference"/>
    <w:basedOn w:val="Fuentedeprrafopredeter"/>
    <w:uiPriority w:val="99"/>
    <w:semiHidden/>
    <w:unhideWhenUsed/>
    <w:rsid w:val="00975576"/>
    <w:rPr>
      <w:vertAlign w:val="superscript"/>
    </w:rPr>
  </w:style>
  <w:style w:type="paragraph" w:styleId="NormalWeb">
    <w:name w:val="Normal (Web)"/>
    <w:basedOn w:val="Normal"/>
    <w:uiPriority w:val="99"/>
    <w:semiHidden/>
    <w:unhideWhenUsed/>
    <w:rsid w:val="00525994"/>
    <w:pPr>
      <w:spacing w:before="100" w:beforeAutospacing="1" w:after="100" w:afterAutospacing="1"/>
    </w:pPr>
    <w:rPr>
      <w:rFonts w:eastAsia="Times New Roman" w:cs="Times New Roman"/>
      <w:sz w:val="24"/>
      <w:szCs w:val="24"/>
      <w:lang w:eastAsia="es-CO"/>
    </w:rPr>
  </w:style>
  <w:style w:type="paragraph" w:styleId="Encabezado">
    <w:name w:val="header"/>
    <w:basedOn w:val="Normal"/>
    <w:link w:val="EncabezadoCar"/>
    <w:uiPriority w:val="99"/>
    <w:unhideWhenUsed/>
    <w:rsid w:val="00FC4385"/>
    <w:pPr>
      <w:tabs>
        <w:tab w:val="center" w:pos="4419"/>
        <w:tab w:val="right" w:pos="8838"/>
      </w:tabs>
      <w:spacing w:after="0"/>
    </w:pPr>
  </w:style>
  <w:style w:type="character" w:customStyle="1" w:styleId="EncabezadoCar">
    <w:name w:val="Encabezado Car"/>
    <w:basedOn w:val="Fuentedeprrafopredeter"/>
    <w:link w:val="Encabezado"/>
    <w:uiPriority w:val="99"/>
    <w:rsid w:val="00FC4385"/>
  </w:style>
  <w:style w:type="paragraph" w:styleId="Piedepgina">
    <w:name w:val="footer"/>
    <w:basedOn w:val="Normal"/>
    <w:link w:val="PiedepginaCar"/>
    <w:uiPriority w:val="99"/>
    <w:unhideWhenUsed/>
    <w:rsid w:val="00FC4385"/>
    <w:pPr>
      <w:tabs>
        <w:tab w:val="center" w:pos="4419"/>
        <w:tab w:val="right" w:pos="8838"/>
      </w:tabs>
      <w:spacing w:after="0"/>
    </w:pPr>
  </w:style>
  <w:style w:type="character" w:customStyle="1" w:styleId="PiedepginaCar">
    <w:name w:val="Pie de página Car"/>
    <w:basedOn w:val="Fuentedeprrafopredeter"/>
    <w:link w:val="Piedepgina"/>
    <w:uiPriority w:val="99"/>
    <w:rsid w:val="00FC4385"/>
  </w:style>
  <w:style w:type="character" w:styleId="Refdecomentario">
    <w:name w:val="annotation reference"/>
    <w:basedOn w:val="Fuentedeprrafopredeter"/>
    <w:uiPriority w:val="99"/>
    <w:semiHidden/>
    <w:unhideWhenUsed/>
    <w:rsid w:val="00412300"/>
    <w:rPr>
      <w:sz w:val="16"/>
      <w:szCs w:val="16"/>
    </w:rPr>
  </w:style>
  <w:style w:type="paragraph" w:styleId="Textocomentario">
    <w:name w:val="annotation text"/>
    <w:basedOn w:val="Normal"/>
    <w:link w:val="TextocomentarioCar"/>
    <w:uiPriority w:val="99"/>
    <w:semiHidden/>
    <w:unhideWhenUsed/>
    <w:rsid w:val="00412300"/>
    <w:rPr>
      <w:szCs w:val="20"/>
    </w:rPr>
  </w:style>
  <w:style w:type="character" w:customStyle="1" w:styleId="TextocomentarioCar">
    <w:name w:val="Texto comentario Car"/>
    <w:basedOn w:val="Fuentedeprrafopredeter"/>
    <w:link w:val="Textocomentario"/>
    <w:uiPriority w:val="99"/>
    <w:semiHidden/>
    <w:rsid w:val="00412300"/>
    <w:rPr>
      <w:sz w:val="20"/>
      <w:szCs w:val="20"/>
    </w:rPr>
  </w:style>
  <w:style w:type="paragraph" w:styleId="Asuntodelcomentario">
    <w:name w:val="annotation subject"/>
    <w:basedOn w:val="Textocomentario"/>
    <w:next w:val="Textocomentario"/>
    <w:link w:val="AsuntodelcomentarioCar"/>
    <w:uiPriority w:val="99"/>
    <w:semiHidden/>
    <w:unhideWhenUsed/>
    <w:rsid w:val="00412300"/>
    <w:rPr>
      <w:b/>
      <w:bCs/>
    </w:rPr>
  </w:style>
  <w:style w:type="character" w:customStyle="1" w:styleId="AsuntodelcomentarioCar">
    <w:name w:val="Asunto del comentario Car"/>
    <w:basedOn w:val="TextocomentarioCar"/>
    <w:link w:val="Asuntodelcomentario"/>
    <w:uiPriority w:val="99"/>
    <w:semiHidden/>
    <w:rsid w:val="00412300"/>
    <w:rPr>
      <w:b/>
      <w:bCs/>
      <w:sz w:val="20"/>
      <w:szCs w:val="20"/>
    </w:rPr>
  </w:style>
  <w:style w:type="paragraph" w:customStyle="1" w:styleId="IndexTerms">
    <w:name w:val="IndexTerms"/>
    <w:basedOn w:val="Normal"/>
    <w:next w:val="Normal"/>
    <w:rsid w:val="007E09FA"/>
    <w:pPr>
      <w:spacing w:after="0"/>
      <w:ind w:firstLine="240"/>
    </w:pPr>
    <w:rPr>
      <w:rFonts w:eastAsia="Times New Roman" w:cs="Times New Roman"/>
      <w:b/>
      <w:sz w:val="18"/>
      <w:szCs w:val="20"/>
      <w:lang w:val="en-US"/>
    </w:rPr>
  </w:style>
  <w:style w:type="paragraph" w:customStyle="1" w:styleId="Text">
    <w:name w:val="Text"/>
    <w:basedOn w:val="Normal"/>
    <w:link w:val="TextCar"/>
    <w:rsid w:val="00BA3F63"/>
    <w:pPr>
      <w:widowControl w:val="0"/>
      <w:spacing w:after="0" w:line="252" w:lineRule="auto"/>
      <w:ind w:firstLine="240"/>
    </w:pPr>
    <w:rPr>
      <w:rFonts w:eastAsia="Times New Roman" w:cs="Times New Roman"/>
      <w:szCs w:val="20"/>
      <w:lang w:val="en-US"/>
    </w:rPr>
  </w:style>
  <w:style w:type="character" w:customStyle="1" w:styleId="TextCar">
    <w:name w:val="Text Car"/>
    <w:link w:val="Text"/>
    <w:rsid w:val="00BA3F63"/>
    <w:rPr>
      <w:rFonts w:ascii="Times New Roman" w:eastAsia="Times New Roman" w:hAnsi="Times New Roman" w:cs="Times New Roman"/>
      <w:sz w:val="20"/>
      <w:szCs w:val="20"/>
      <w:lang w:val="en-US"/>
    </w:rPr>
  </w:style>
  <w:style w:type="paragraph" w:customStyle="1" w:styleId="EndNoteBibliographyTitle">
    <w:name w:val="EndNote Bibliography Title"/>
    <w:basedOn w:val="Normal"/>
    <w:link w:val="EndNoteBibliographyTitleCar"/>
    <w:rsid w:val="00C153AA"/>
    <w:pPr>
      <w:spacing w:after="0"/>
      <w:jc w:val="center"/>
    </w:pPr>
    <w:rPr>
      <w:rFonts w:cs="Times New Roman"/>
      <w:noProof/>
      <w:lang w:val="en-US"/>
    </w:rPr>
  </w:style>
  <w:style w:type="character" w:customStyle="1" w:styleId="EndNoteBibliographyTitleCar">
    <w:name w:val="EndNote Bibliography Title Car"/>
    <w:basedOn w:val="Fuentedeprrafopredeter"/>
    <w:link w:val="EndNoteBibliographyTitle"/>
    <w:rsid w:val="00C153AA"/>
    <w:rPr>
      <w:rFonts w:ascii="Times New Roman" w:hAnsi="Times New Roman" w:cs="Times New Roman"/>
      <w:noProof/>
      <w:sz w:val="20"/>
      <w:lang w:val="en-US"/>
    </w:rPr>
  </w:style>
  <w:style w:type="paragraph" w:customStyle="1" w:styleId="EndNoteBibliography">
    <w:name w:val="EndNote Bibliography"/>
    <w:basedOn w:val="Normal"/>
    <w:link w:val="EndNoteBibliographyCar"/>
    <w:rsid w:val="00C153AA"/>
    <w:rPr>
      <w:rFonts w:cs="Times New Roman"/>
      <w:noProof/>
      <w:lang w:val="en-US"/>
    </w:rPr>
  </w:style>
  <w:style w:type="character" w:customStyle="1" w:styleId="EndNoteBibliographyCar">
    <w:name w:val="EndNote Bibliography Car"/>
    <w:basedOn w:val="Fuentedeprrafopredeter"/>
    <w:link w:val="EndNoteBibliography"/>
    <w:rsid w:val="00C153AA"/>
    <w:rPr>
      <w:rFonts w:ascii="Times New Roman" w:hAnsi="Times New Roman" w:cs="Times New Roman"/>
      <w:noProof/>
      <w:sz w:val="20"/>
      <w:lang w:val="en-US"/>
    </w:rPr>
  </w:style>
  <w:style w:type="character" w:customStyle="1" w:styleId="Ttulo2Car">
    <w:name w:val="Título 2 Car"/>
    <w:basedOn w:val="Fuentedeprrafopredeter"/>
    <w:link w:val="Ttulo2"/>
    <w:uiPriority w:val="9"/>
    <w:rsid w:val="00A74A29"/>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semiHidden/>
    <w:rsid w:val="003453F9"/>
    <w:rPr>
      <w:rFonts w:asciiTheme="majorHAnsi" w:eastAsiaTheme="majorEastAsia" w:hAnsiTheme="majorHAnsi" w:cstheme="majorBidi"/>
      <w:color w:val="243F60" w:themeColor="accent1" w:themeShade="7F"/>
      <w:sz w:val="24"/>
      <w:szCs w:val="24"/>
    </w:rPr>
  </w:style>
  <w:style w:type="table" w:customStyle="1" w:styleId="PlainTable2">
    <w:name w:val="Plain Table 2"/>
    <w:basedOn w:val="Tablanormal"/>
    <w:uiPriority w:val="42"/>
    <w:rsid w:val="00F51E45"/>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leTitle">
    <w:name w:val="Table Title"/>
    <w:basedOn w:val="Normal"/>
    <w:rsid w:val="00617AA0"/>
    <w:pPr>
      <w:spacing w:after="0"/>
      <w:ind w:firstLine="0"/>
      <w:jc w:val="center"/>
    </w:pPr>
    <w:rPr>
      <w:rFonts w:eastAsia="Times New Roman" w:cs="Times New Roman"/>
      <w:smallCaps/>
      <w:sz w:val="16"/>
      <w:szCs w:val="20"/>
      <w:lang w:val="en-US"/>
    </w:rPr>
  </w:style>
  <w:style w:type="table" w:styleId="Tablaconcuadrcula">
    <w:name w:val="Table Grid"/>
    <w:basedOn w:val="Tablanormal"/>
    <w:uiPriority w:val="59"/>
    <w:rsid w:val="00617AA0"/>
    <w:pPr>
      <w:spacing w:after="0"/>
      <w:ind w:firstLine="0"/>
      <w:jc w:val="left"/>
    </w:pPr>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599662">
      <w:bodyDiv w:val="1"/>
      <w:marLeft w:val="0"/>
      <w:marRight w:val="0"/>
      <w:marTop w:val="0"/>
      <w:marBottom w:val="0"/>
      <w:divBdr>
        <w:top w:val="none" w:sz="0" w:space="0" w:color="auto"/>
        <w:left w:val="none" w:sz="0" w:space="0" w:color="auto"/>
        <w:bottom w:val="none" w:sz="0" w:space="0" w:color="auto"/>
        <w:right w:val="none" w:sz="0" w:space="0" w:color="auto"/>
      </w:divBdr>
    </w:div>
    <w:div w:id="2117754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image" Target="media/image7.png"/><Relationship Id="rId3" Type="http://schemas.openxmlformats.org/officeDocument/2006/relationships/styles" Target="styles.xml"/><Relationship Id="rId21" Type="http://schemas.microsoft.com/office/2007/relationships/hdphoto" Target="media/hdphoto4.wdp"/><Relationship Id="rId7" Type="http://schemas.openxmlformats.org/officeDocument/2006/relationships/footnotes" Target="footnotes.xml"/><Relationship Id="rId12" Type="http://schemas.openxmlformats.org/officeDocument/2006/relationships/image" Target="media/image3.png"/><Relationship Id="rId17"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1.png"/><Relationship Id="rId19" Type="http://schemas.microsoft.com/office/2007/relationships/hdphoto" Target="media/hdphoto3.wdp"/><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_Reference.XSL" StyleName="IEEE - Reference Order"/>
</file>

<file path=customXml/itemProps1.xml><?xml version="1.0" encoding="utf-8"?>
<ds:datastoreItem xmlns:ds="http://schemas.openxmlformats.org/officeDocument/2006/customXml" ds:itemID="{C28B91DB-09E1-430A-BED8-AD1FCD204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9</Pages>
  <Words>7261</Words>
  <Characters>39938</Characters>
  <Application>Microsoft Office Word</Application>
  <DocSecurity>0</DocSecurity>
  <Lines>332</Lines>
  <Paragraphs>94</Paragraphs>
  <ScaleCrop>false</ScaleCrop>
  <HeadingPairs>
    <vt:vector size="2" baseType="variant">
      <vt:variant>
        <vt:lpstr>Título</vt:lpstr>
      </vt:variant>
      <vt:variant>
        <vt:i4>1</vt:i4>
      </vt:variant>
    </vt:vector>
  </HeadingPairs>
  <TitlesOfParts>
    <vt:vector size="1" baseType="lpstr">
      <vt:lpstr/>
    </vt:vector>
  </TitlesOfParts>
  <Company>***</Company>
  <LinksUpToDate>false</LinksUpToDate>
  <CharactersWithSpaces>47105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 ROMERO CONRADO</dc:creator>
  <cp:keywords>Paper Format Guide  INGE CUC</cp:keywords>
  <cp:lastModifiedBy>Irina Pertuz Heilbron</cp:lastModifiedBy>
  <cp:revision>8</cp:revision>
  <dcterms:created xsi:type="dcterms:W3CDTF">2016-11-06T15:54:00Z</dcterms:created>
  <dcterms:modified xsi:type="dcterms:W3CDTF">2016-11-24T15:40:00Z</dcterms:modified>
</cp:coreProperties>
</file>